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F920B4" w:rsidRPr="00594D5B">
        <w:rPr>
          <w:rFonts w:ascii="Arial" w:hAnsi="Arial" w:cs="Arial"/>
          <w:b/>
          <w:bCs/>
          <w:sz w:val="24"/>
        </w:rPr>
        <w:t>PAMÁTKA RYBNÍČEK U STARÝCH HUTÍ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F920B4" w:rsidP="00933189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>Rybníček u Starých Hutí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F920B4" w:rsidRPr="00594D5B" w:rsidRDefault="00F920B4" w:rsidP="00F920B4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Populace významných druhů rostlin a živočichů, zejména </w:t>
      </w:r>
      <w:proofErr w:type="spellStart"/>
      <w:r w:rsidRPr="00594D5B">
        <w:rPr>
          <w:rFonts w:ascii="Arial" w:hAnsi="Arial" w:cs="Arial"/>
          <w:iCs/>
        </w:rPr>
        <w:t>bazanovce</w:t>
      </w:r>
      <w:proofErr w:type="spellEnd"/>
      <w:r w:rsidRPr="00594D5B">
        <w:rPr>
          <w:rFonts w:ascii="Arial" w:hAnsi="Arial" w:cs="Arial"/>
          <w:iCs/>
        </w:rPr>
        <w:t xml:space="preserve"> kytkokvětého (</w:t>
      </w:r>
      <w:proofErr w:type="spellStart"/>
      <w:r w:rsidRPr="00594D5B">
        <w:rPr>
          <w:rFonts w:ascii="Arial" w:hAnsi="Arial" w:cs="Arial"/>
          <w:i/>
          <w:iCs/>
        </w:rPr>
        <w:t>Lysimacha</w:t>
      </w:r>
      <w:proofErr w:type="spellEnd"/>
      <w:r w:rsidRPr="00594D5B">
        <w:rPr>
          <w:rFonts w:ascii="Arial" w:hAnsi="Arial" w:cs="Arial"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i/>
          <w:iCs/>
        </w:rPr>
        <w:t>thyrsiflor</w:t>
      </w:r>
      <w:r w:rsidRPr="00594D5B">
        <w:rPr>
          <w:rFonts w:ascii="Arial" w:hAnsi="Arial" w:cs="Arial"/>
          <w:iCs/>
        </w:rPr>
        <w:t>a</w:t>
      </w:r>
      <w:proofErr w:type="spellEnd"/>
      <w:r w:rsidRPr="00594D5B">
        <w:rPr>
          <w:rFonts w:ascii="Arial" w:hAnsi="Arial" w:cs="Arial"/>
          <w:iCs/>
        </w:rPr>
        <w:t>), ďáblíku bahenního (</w:t>
      </w:r>
      <w:proofErr w:type="spellStart"/>
      <w:r w:rsidRPr="00594D5B">
        <w:rPr>
          <w:rFonts w:ascii="Arial" w:hAnsi="Arial" w:cs="Arial"/>
          <w:i/>
          <w:iCs/>
        </w:rPr>
        <w:t>Caltha</w:t>
      </w:r>
      <w:proofErr w:type="spellEnd"/>
      <w:r w:rsidRPr="00594D5B">
        <w:rPr>
          <w:rFonts w:ascii="Arial" w:hAnsi="Arial" w:cs="Arial"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i/>
          <w:iCs/>
        </w:rPr>
        <w:t>palustris</w:t>
      </w:r>
      <w:proofErr w:type="spellEnd"/>
      <w:r w:rsidRPr="00594D5B">
        <w:rPr>
          <w:rFonts w:ascii="Arial" w:hAnsi="Arial" w:cs="Arial"/>
          <w:iCs/>
        </w:rPr>
        <w:t>), slunky obecné (</w:t>
      </w:r>
      <w:proofErr w:type="spellStart"/>
      <w:r w:rsidRPr="00594D5B">
        <w:rPr>
          <w:rFonts w:ascii="Arial" w:hAnsi="Arial" w:cs="Arial"/>
          <w:i/>
          <w:iCs/>
        </w:rPr>
        <w:t>Leucaspius</w:t>
      </w:r>
      <w:proofErr w:type="spellEnd"/>
      <w:r w:rsidRPr="00594D5B">
        <w:rPr>
          <w:rFonts w:ascii="Arial" w:hAnsi="Arial" w:cs="Arial"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i/>
          <w:iCs/>
        </w:rPr>
        <w:t>delineatus</w:t>
      </w:r>
      <w:proofErr w:type="spellEnd"/>
      <w:r w:rsidRPr="00594D5B">
        <w:rPr>
          <w:rFonts w:ascii="Arial" w:hAnsi="Arial" w:cs="Arial"/>
          <w:iCs/>
        </w:rPr>
        <w:t>), střevle potoční (</w:t>
      </w:r>
      <w:proofErr w:type="spellStart"/>
      <w:r w:rsidRPr="00594D5B">
        <w:rPr>
          <w:rFonts w:ascii="Arial" w:hAnsi="Arial" w:cs="Arial"/>
          <w:i/>
          <w:iCs/>
        </w:rPr>
        <w:t>Phoxinus</w:t>
      </w:r>
      <w:proofErr w:type="spellEnd"/>
      <w:r w:rsidRPr="00594D5B">
        <w:rPr>
          <w:rFonts w:ascii="Arial" w:hAnsi="Arial" w:cs="Arial"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i/>
          <w:iCs/>
        </w:rPr>
        <w:t>phoxinus</w:t>
      </w:r>
      <w:proofErr w:type="spellEnd"/>
      <w:r w:rsidRPr="00594D5B">
        <w:rPr>
          <w:rFonts w:ascii="Arial" w:hAnsi="Arial" w:cs="Arial"/>
          <w:iCs/>
        </w:rPr>
        <w:t>) a čolka horského (</w:t>
      </w:r>
      <w:proofErr w:type="spellStart"/>
      <w:r w:rsidRPr="00594D5B">
        <w:rPr>
          <w:rFonts w:ascii="Arial" w:hAnsi="Arial" w:cs="Arial"/>
          <w:i/>
          <w:iCs/>
        </w:rPr>
        <w:t>Ichthyosaura</w:t>
      </w:r>
      <w:proofErr w:type="spellEnd"/>
      <w:r w:rsidRPr="00594D5B">
        <w:rPr>
          <w:rFonts w:ascii="Arial" w:hAnsi="Arial" w:cs="Arial"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i/>
          <w:iCs/>
        </w:rPr>
        <w:t>alpestris</w:t>
      </w:r>
      <w:proofErr w:type="spellEnd"/>
      <w:r w:rsidRPr="00594D5B">
        <w:rPr>
          <w:rFonts w:ascii="Arial" w:hAnsi="Arial" w:cs="Arial"/>
          <w:iCs/>
        </w:rPr>
        <w:t>).</w:t>
      </w:r>
    </w:p>
    <w:p w:rsidR="000A7640" w:rsidRPr="00594D5B" w:rsidRDefault="000A7640" w:rsidP="00F920B4">
      <w:pPr>
        <w:spacing w:before="120" w:after="0" w:line="276" w:lineRule="auto"/>
        <w:jc w:val="both"/>
        <w:rPr>
          <w:rFonts w:ascii="Arial" w:hAnsi="Arial" w:cs="Arial"/>
          <w:iCs/>
        </w:rPr>
      </w:pPr>
    </w:p>
    <w:tbl>
      <w:tblPr>
        <w:tblW w:w="892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5010"/>
      </w:tblGrid>
      <w:tr w:rsidR="000A7640" w:rsidRPr="00594D5B" w:rsidTr="000A7640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/>
                <w:bCs/>
                <w:snapToGrid w:val="0"/>
                <w:sz w:val="18"/>
                <w:lang w:eastAsia="cs-CZ"/>
              </w:rPr>
              <w:t xml:space="preserve">druh </w:t>
            </w:r>
          </w:p>
        </w:tc>
        <w:tc>
          <w:tcPr>
            <w:tcW w:w="1275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/>
                <w:snapToGrid w:val="0"/>
                <w:sz w:val="18"/>
                <w:lang w:eastAsia="cs-CZ"/>
              </w:rPr>
              <w:t>stupeň ohrožení*</w:t>
            </w:r>
          </w:p>
        </w:tc>
        <w:tc>
          <w:tcPr>
            <w:tcW w:w="501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/>
                <w:bCs/>
                <w:snapToGrid w:val="0"/>
                <w:sz w:val="18"/>
                <w:lang w:eastAsia="cs-CZ"/>
              </w:rPr>
              <w:t xml:space="preserve">popis biotopu druhu v ZCHÚ a aktuální početnost nebo vitalita populace </w:t>
            </w:r>
          </w:p>
        </w:tc>
      </w:tr>
      <w:tr w:rsidR="000A7640" w:rsidRPr="00594D5B" w:rsidTr="000A7640">
        <w:trPr>
          <w:cantSplit/>
          <w:trHeight w:val="247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proofErr w:type="spellStart"/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bazanovec</w:t>
            </w:r>
            <w:proofErr w:type="spellEnd"/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 xml:space="preserve"> kytkokvětý (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Lysimachia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 xml:space="preserve"> 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thyrsiflora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NT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Mělký příbřežní pás rybníčka s ostřicemi a skřípinou, zejména při J a S břehu.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Stovky kvetoucích exemplářů, vitalita populace výborná (2020).</w:t>
            </w:r>
          </w:p>
        </w:tc>
      </w:tr>
      <w:tr w:rsidR="000A7640" w:rsidRPr="00594D5B" w:rsidTr="000A76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 xml:space="preserve">ďáblík bahenní 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(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Calla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 xml:space="preserve"> 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palustris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NT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Mělký příbřežní pás rybníčka s hlavním výskytem v okolí přítoku, vitalita populace výborná.</w:t>
            </w:r>
          </w:p>
        </w:tc>
      </w:tr>
      <w:tr w:rsidR="000A7640" w:rsidRPr="00594D5B" w:rsidTr="000A76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slunka obecná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(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Leucaspius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 xml:space="preserve"> 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delineatu</w:t>
            </w: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s</w:t>
            </w:r>
            <w:proofErr w:type="spellEnd"/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CR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V rybníčku tisíce jedinců (od potěru po dospělce, odhad při výlovu 2020), vitalita populace výborná.</w:t>
            </w:r>
          </w:p>
        </w:tc>
      </w:tr>
      <w:tr w:rsidR="000A7640" w:rsidRPr="00594D5B" w:rsidTr="000A76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 xml:space="preserve">střevle potoční 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(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Phoxinus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 xml:space="preserve"> 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phoxinus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VU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Hlavním biotopem střevle je samotný rybníček, tření probíhá v náhonu.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 xml:space="preserve">Přibližně 500 jedinců (od potěru po dospělce, odhad při výlovu 2020), vitalita populace dobrá. </w:t>
            </w:r>
          </w:p>
        </w:tc>
      </w:tr>
      <w:tr w:rsidR="000A7640" w:rsidRPr="00594D5B" w:rsidTr="000A7640">
        <w:trPr>
          <w:cantSplit/>
          <w:trHeight w:val="251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čolek horský</w:t>
            </w:r>
          </w:p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(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Ichthyosaura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 xml:space="preserve"> </w:t>
            </w:r>
            <w:proofErr w:type="spellStart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alpestris</w:t>
            </w:r>
            <w:proofErr w:type="spellEnd"/>
            <w:r w:rsidRPr="00594D5B">
              <w:rPr>
                <w:rFonts w:ascii="Arial" w:eastAsia="Times New Roman" w:hAnsi="Arial" w:cs="Arial"/>
                <w:bCs/>
                <w:i/>
                <w:snapToGrid w:val="0"/>
                <w:sz w:val="18"/>
                <w:lang w:eastAsia="cs-CZ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VU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A7640" w:rsidRPr="00594D5B" w:rsidRDefault="000A7640" w:rsidP="000A7640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</w:pPr>
            <w:r w:rsidRPr="00594D5B">
              <w:rPr>
                <w:rFonts w:ascii="Arial" w:eastAsia="Times New Roman" w:hAnsi="Arial" w:cs="Arial"/>
                <w:bCs/>
                <w:snapToGrid w:val="0"/>
                <w:sz w:val="18"/>
                <w:lang w:eastAsia="cs-CZ"/>
              </w:rPr>
              <w:t>Litorály rybníčka slouží k rozmnožování druhu, mimo to využívá suchozemské biotopy v okolí. Početnost spíše nižší (zaznamenávány nejvýše desítky jedinců), životaschopnost populace dobrá – součástí většího areálu druhu v širokém okolí</w:t>
            </w:r>
          </w:p>
        </w:tc>
      </w:tr>
    </w:tbl>
    <w:p w:rsidR="00594D5B" w:rsidRP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94D5B">
        <w:rPr>
          <w:rFonts w:ascii="Arial" w:eastAsia="Times New Roman" w:hAnsi="Arial" w:cs="Arial"/>
          <w:bCs/>
          <w:snapToGrid w:val="0"/>
          <w:sz w:val="20"/>
          <w:szCs w:val="20"/>
          <w:lang w:eastAsia="cs-CZ"/>
        </w:rPr>
        <w:t>*stupeň ohrožení dle červených seznamů ČR:</w:t>
      </w:r>
      <w:r w:rsidRPr="00594D5B">
        <w:rPr>
          <w:rFonts w:ascii="Arial" w:eastAsia="Times New Roman" w:hAnsi="Arial" w:cs="Arial"/>
          <w:snapToGrid w:val="0"/>
          <w:sz w:val="20"/>
          <w:szCs w:val="20"/>
          <w:lang w:eastAsia="cs-CZ"/>
        </w:rPr>
        <w:t xml:space="preserve"> CR – kriticky ohrožený, VU – zranitelný, NT – téměř ohrožený, </w:t>
      </w:r>
      <w:r w:rsidRPr="00594D5B">
        <w:rPr>
          <w:rFonts w:ascii="Arial" w:eastAsia="Times New Roman" w:hAnsi="Arial" w:cs="Arial"/>
          <w:sz w:val="20"/>
          <w:szCs w:val="20"/>
          <w:lang w:eastAsia="cs-CZ"/>
        </w:rPr>
        <w:t>podle Grulich &amp; Chobot (2017), Chobot &amp; Němec (2017)</w:t>
      </w:r>
    </w:p>
    <w:p w:rsidR="00594D5B" w:rsidRP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  <w:r w:rsidRPr="00594D5B">
        <w:rPr>
          <w:rFonts w:ascii="Arial" w:eastAsia="Times New Roman" w:hAnsi="Arial" w:cs="Arial"/>
          <w:sz w:val="20"/>
          <w:szCs w:val="20"/>
          <w:lang w:eastAsia="cs-CZ"/>
        </w:rPr>
        <w:t xml:space="preserve">** kód předmětu ochrany: </w:t>
      </w:r>
      <w:r w:rsidRPr="00594D5B">
        <w:rPr>
          <w:rFonts w:ascii="Arial" w:eastAsia="Times New Roman" w:hAnsi="Arial" w:cs="Arial"/>
          <w:snapToGrid w:val="0"/>
          <w:sz w:val="20"/>
          <w:szCs w:val="20"/>
          <w:lang w:eastAsia="cs-CZ"/>
        </w:rPr>
        <w:t>a = předmět ochrany spadá pod definici předmětu ochrany dle zřizovacího předpisu, c = další významný ekosystém nebo jeho složka, který je navržen k doplnění mezi předměty ochrany</w:t>
      </w: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Cíle ochrany zvláště chráněného území:</w:t>
      </w:r>
    </w:p>
    <w:p w:rsidR="000A7640" w:rsidRPr="00594D5B" w:rsidRDefault="000A7640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  <w:r w:rsidRPr="00594D5B">
        <w:rPr>
          <w:rFonts w:ascii="Arial" w:hAnsi="Arial" w:cs="Arial"/>
          <w:bCs/>
          <w:iCs/>
        </w:rPr>
        <w:t xml:space="preserve">Zachování životaschopných populací </w:t>
      </w:r>
      <w:proofErr w:type="spellStart"/>
      <w:r w:rsidRPr="00594D5B">
        <w:rPr>
          <w:rFonts w:ascii="Arial" w:hAnsi="Arial" w:cs="Arial"/>
          <w:bCs/>
          <w:iCs/>
        </w:rPr>
        <w:t>bazanovce</w:t>
      </w:r>
      <w:proofErr w:type="spellEnd"/>
      <w:r w:rsidRPr="00594D5B">
        <w:rPr>
          <w:rFonts w:ascii="Arial" w:hAnsi="Arial" w:cs="Arial"/>
          <w:bCs/>
          <w:iCs/>
        </w:rPr>
        <w:t xml:space="preserve"> kytkokvětého (</w:t>
      </w:r>
      <w:proofErr w:type="spellStart"/>
      <w:r w:rsidRPr="00594D5B">
        <w:rPr>
          <w:rFonts w:ascii="Arial" w:hAnsi="Arial" w:cs="Arial"/>
          <w:bCs/>
          <w:i/>
          <w:iCs/>
        </w:rPr>
        <w:t>Lysimacha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bCs/>
          <w:i/>
          <w:iCs/>
        </w:rPr>
        <w:t>thyrsiflora</w:t>
      </w:r>
      <w:proofErr w:type="spellEnd"/>
      <w:r w:rsidRPr="00594D5B">
        <w:rPr>
          <w:rFonts w:ascii="Arial" w:hAnsi="Arial" w:cs="Arial"/>
          <w:bCs/>
          <w:iCs/>
        </w:rPr>
        <w:t>) a ďáblíku bahenního (</w:t>
      </w:r>
      <w:proofErr w:type="spellStart"/>
      <w:r w:rsidRPr="00594D5B">
        <w:rPr>
          <w:rFonts w:ascii="Arial" w:hAnsi="Arial" w:cs="Arial"/>
          <w:bCs/>
          <w:i/>
          <w:iCs/>
        </w:rPr>
        <w:t>Calla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bCs/>
          <w:i/>
          <w:iCs/>
        </w:rPr>
        <w:t>palustris</w:t>
      </w:r>
      <w:proofErr w:type="spellEnd"/>
      <w:r w:rsidRPr="00594D5B">
        <w:rPr>
          <w:rFonts w:ascii="Arial" w:hAnsi="Arial" w:cs="Arial"/>
          <w:bCs/>
          <w:iCs/>
        </w:rPr>
        <w:t xml:space="preserve">) v příbřežních partií rybníka. </w:t>
      </w:r>
    </w:p>
    <w:p w:rsidR="006037DF" w:rsidRPr="00594D5B" w:rsidRDefault="006037DF" w:rsidP="007D56D3">
      <w:pPr>
        <w:spacing w:after="0" w:line="276" w:lineRule="auto"/>
        <w:jc w:val="both"/>
        <w:rPr>
          <w:rFonts w:ascii="Arial" w:hAnsi="Arial" w:cs="Arial"/>
          <w:bCs/>
          <w:iCs/>
        </w:rPr>
      </w:pPr>
      <w:r w:rsidRPr="00594D5B">
        <w:rPr>
          <w:rFonts w:ascii="Arial" w:hAnsi="Arial" w:cs="Arial"/>
          <w:bCs/>
          <w:iCs/>
        </w:rPr>
        <w:t xml:space="preserve">Zachování životaschopných populací slunky obecné </w:t>
      </w:r>
      <w:r w:rsidRPr="00594D5B">
        <w:rPr>
          <w:rFonts w:ascii="Arial" w:hAnsi="Arial" w:cs="Arial"/>
          <w:bCs/>
          <w:i/>
          <w:iCs/>
        </w:rPr>
        <w:t>(</w:t>
      </w:r>
      <w:proofErr w:type="spellStart"/>
      <w:r w:rsidRPr="00594D5B">
        <w:rPr>
          <w:rFonts w:ascii="Arial" w:hAnsi="Arial" w:cs="Arial"/>
          <w:bCs/>
          <w:i/>
          <w:iCs/>
        </w:rPr>
        <w:t>Leucaspius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bCs/>
          <w:i/>
          <w:iCs/>
        </w:rPr>
        <w:t>delineatus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), </w:t>
      </w:r>
      <w:r w:rsidRPr="00594D5B">
        <w:rPr>
          <w:rFonts w:ascii="Arial" w:hAnsi="Arial" w:cs="Arial"/>
          <w:bCs/>
          <w:iCs/>
        </w:rPr>
        <w:t>střevle potoční</w:t>
      </w:r>
      <w:r w:rsidRPr="00594D5B">
        <w:rPr>
          <w:rFonts w:ascii="Arial" w:hAnsi="Arial" w:cs="Arial"/>
          <w:bCs/>
          <w:i/>
          <w:iCs/>
        </w:rPr>
        <w:t xml:space="preserve"> (</w:t>
      </w:r>
      <w:proofErr w:type="spellStart"/>
      <w:r w:rsidRPr="00594D5B">
        <w:rPr>
          <w:rFonts w:ascii="Arial" w:hAnsi="Arial" w:cs="Arial"/>
          <w:bCs/>
          <w:i/>
          <w:iCs/>
        </w:rPr>
        <w:t>Phoxinus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bCs/>
          <w:i/>
          <w:iCs/>
        </w:rPr>
        <w:t>phoxinus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) </w:t>
      </w:r>
      <w:r w:rsidRPr="00594D5B">
        <w:rPr>
          <w:rFonts w:ascii="Arial" w:hAnsi="Arial" w:cs="Arial"/>
          <w:bCs/>
          <w:iCs/>
        </w:rPr>
        <w:t>a čolka horského (</w:t>
      </w:r>
      <w:r w:rsidRPr="00594D5B">
        <w:rPr>
          <w:rFonts w:ascii="Arial" w:hAnsi="Arial" w:cs="Arial"/>
          <w:bCs/>
          <w:i/>
          <w:iCs/>
        </w:rPr>
        <w:t>(</w:t>
      </w:r>
      <w:proofErr w:type="spellStart"/>
      <w:r w:rsidRPr="00594D5B">
        <w:rPr>
          <w:rFonts w:ascii="Arial" w:hAnsi="Arial" w:cs="Arial"/>
          <w:bCs/>
          <w:i/>
          <w:iCs/>
        </w:rPr>
        <w:t>Ichthyosaura</w:t>
      </w:r>
      <w:proofErr w:type="spellEnd"/>
      <w:r w:rsidRPr="00594D5B">
        <w:rPr>
          <w:rFonts w:ascii="Arial" w:hAnsi="Arial" w:cs="Arial"/>
          <w:bCs/>
          <w:i/>
          <w:iCs/>
        </w:rPr>
        <w:t xml:space="preserve"> </w:t>
      </w:r>
      <w:proofErr w:type="spellStart"/>
      <w:r w:rsidRPr="00594D5B">
        <w:rPr>
          <w:rFonts w:ascii="Arial" w:hAnsi="Arial" w:cs="Arial"/>
          <w:bCs/>
          <w:i/>
          <w:iCs/>
        </w:rPr>
        <w:t>alpestris</w:t>
      </w:r>
      <w:proofErr w:type="spellEnd"/>
      <w:r w:rsidRPr="00594D5B">
        <w:rPr>
          <w:rFonts w:ascii="Arial" w:hAnsi="Arial" w:cs="Arial"/>
          <w:bCs/>
          <w:i/>
          <w:iCs/>
        </w:rPr>
        <w:t>)</w:t>
      </w:r>
      <w:r w:rsidRPr="00594D5B">
        <w:rPr>
          <w:rFonts w:ascii="Arial" w:hAnsi="Arial" w:cs="Arial"/>
          <w:bCs/>
          <w:iCs/>
        </w:rPr>
        <w:t xml:space="preserve">, a to včetně zachování trvalého přístupu pro střevli </w:t>
      </w:r>
      <w:r w:rsidR="007D56D3" w:rsidRPr="00594D5B">
        <w:rPr>
          <w:rFonts w:ascii="Arial" w:hAnsi="Arial" w:cs="Arial"/>
          <w:bCs/>
          <w:iCs/>
        </w:rPr>
        <w:t xml:space="preserve">do náhonu pro tření a propojení populací v Huťském potoce. </w:t>
      </w:r>
    </w:p>
    <w:p w:rsidR="000A7640" w:rsidRPr="00594D5B" w:rsidRDefault="000A7640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7D56D3" w:rsidRPr="00594D5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7D56D3" w:rsidRPr="00594D5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lastRenderedPageBreak/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:rsidR="00B6069A" w:rsidRPr="00594D5B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E1CAD" w:rsidRPr="00594D5B" w:rsidRDefault="00DE1CAD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povolovat a umisťovat nové stavby, provádět terénní úpravy </w:t>
      </w:r>
    </w:p>
    <w:p w:rsidR="00882360" w:rsidRPr="00594D5B" w:rsidRDefault="0088236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Umístěním nových staveb nebo provedením terénních úprav může dojít k ovlivnění celého ekosystému, včetně předmětů ochrany. Vliv mohou mít i aktivity s těmito činnostmi spojené, tj. zvýšený sešlap, pojezd vozidel, změna vodních poměrů lokality apod.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</w:p>
    <w:p w:rsidR="00DE1CAD" w:rsidRPr="00594D5B" w:rsidRDefault="00DE1CAD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měnit vodní režim, manipulovat s vodní hladinou</w:t>
      </w:r>
    </w:p>
    <w:p w:rsidR="00343DCC" w:rsidRPr="00594D5B" w:rsidRDefault="00343DCC" w:rsidP="00C2591C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 xml:space="preserve">Změnou hydrologických poměrů se rozumí zásahy, jejichž následkem dojde ke zrychlení nebo zpomalení odtoku vody z daného území, ke zvýšení či snížení hladiny povrchové </w:t>
      </w:r>
      <w:r w:rsidRPr="00594D5B">
        <w:rPr>
          <w:rFonts w:ascii="Arial" w:hAnsi="Arial" w:cs="Arial"/>
        </w:rPr>
        <w:br/>
        <w:t xml:space="preserve">i podzemní vody v předmětném území. Nevhodně provedené zásahy tohoto typu mohou vést k poškození předmětů ochrany.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hAnsi="Arial" w:cs="Arial"/>
        </w:rPr>
      </w:pPr>
    </w:p>
    <w:p w:rsidR="00DE1CAD" w:rsidRPr="00594D5B" w:rsidRDefault="00DE1CAD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provozovat rybářství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1"/>
      </w: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 </w:t>
      </w:r>
    </w:p>
    <w:p w:rsidR="00C2591C" w:rsidRPr="00594D5B" w:rsidRDefault="00343DCC" w:rsidP="00C2591C">
      <w:pPr>
        <w:pStyle w:val="Odstavecseseznamem"/>
        <w:spacing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Chov ryb a jiných vodních živočichů, zejména intenzita chovu a druh chovaných živočichů, je faktorem, který má na předměty ochrany nacházející se v rybníce a jeho litorálu zdaleka nejvýznamnější vliv. Jedním z podkladů pro vydání souhlasu orgánu ochrany přírody s touto činností a určení její konkrétní podoby je rámcová směrnice péče o rybníky, která je součástí plánu péče předmětné lokality, neboť pro ochranu předmětné lokality je stěžejní nastavení v</w:t>
      </w:r>
      <w:r w:rsidR="00A13722" w:rsidRPr="00594D5B">
        <w:rPr>
          <w:rFonts w:ascii="Arial" w:eastAsia="Times New Roman" w:hAnsi="Arial" w:cs="Arial"/>
          <w:iCs/>
          <w:lang w:eastAsia="cs-CZ"/>
        </w:rPr>
        <w:t>hodného rybářského hospodaření.</w:t>
      </w:r>
    </w:p>
    <w:p w:rsidR="00C2591C" w:rsidRPr="00594D5B" w:rsidRDefault="00C2591C" w:rsidP="00C2591C">
      <w:pPr>
        <w:pStyle w:val="Odstavecseseznamem"/>
        <w:spacing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</w:p>
    <w:p w:rsidR="00DE1CAD" w:rsidRPr="00594D5B" w:rsidRDefault="00DE1CAD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měnit způsob hospodaření</w:t>
      </w:r>
    </w:p>
    <w:p w:rsidR="00DE1CAD" w:rsidRPr="00594D5B" w:rsidRDefault="00A13722" w:rsidP="00C2591C">
      <w:pPr>
        <w:spacing w:after="0" w:line="276" w:lineRule="auto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Stav ekosystému včetně předmětů ochrany je dán určitým způsobem hospodaření na předmětném území. Za účelem zachování či zlepšení současného stavu a rozvoje biodiverzity budou plánem péče navrženy vhodné zásahy a opatření včetně specifikace jejich rozsahu, intenzity a časového rozpětí.</w:t>
      </w:r>
    </w:p>
    <w:p w:rsidR="00070D90" w:rsidRPr="00594D5B" w:rsidRDefault="00070D90" w:rsidP="00C2591C">
      <w:pPr>
        <w:spacing w:after="0" w:line="276" w:lineRule="auto"/>
        <w:rPr>
          <w:rFonts w:ascii="Arial" w:eastAsia="Times New Roman" w:hAnsi="Arial" w:cs="Arial"/>
          <w:iCs/>
          <w:lang w:eastAsia="cs-CZ"/>
        </w:rPr>
      </w:pPr>
    </w:p>
    <w:p w:rsidR="00FE6E13" w:rsidRPr="00594D5B" w:rsidRDefault="00FE6E13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:rsidR="00882360" w:rsidRPr="00594D5B" w:rsidRDefault="00F50BFB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Zásahy do vodního díla, zejména údržba je nutná k udržení vodního díla v takovém stavu, aby řádně plnilo svou požadovanou funkci. Režim odbahňování rybníka bude, vzhledem k předmětům ochrany, navržen rámcovou směrnicí péče o rybníky, která je součástí plánu péče.</w:t>
      </w:r>
      <w:r w:rsidRPr="00594D5B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594D5B">
        <w:rPr>
          <w:rFonts w:ascii="Arial" w:eastAsia="Times New Roman" w:hAnsi="Arial" w:cs="Arial"/>
          <w:iCs/>
          <w:lang w:eastAsia="cs-CZ"/>
        </w:rPr>
        <w:t xml:space="preserve">Předměty ochrany jsou svou existencí vázány na určitou kvalitu litorálních porostů, nevhodnými zásahy může dojít k jejich ovlivnění.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</w:p>
    <w:p w:rsidR="00FE6E13" w:rsidRPr="00594D5B" w:rsidRDefault="00DE1CAD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aplikovat biocidy, z</w:t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>ávadné látky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2"/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 xml:space="preserve">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vápnit, hnojit</w:t>
      </w:r>
    </w:p>
    <w:p w:rsidR="00F50BFB" w:rsidRPr="00594D5B" w:rsidRDefault="00F50BFB" w:rsidP="00C2591C">
      <w:pPr>
        <w:pStyle w:val="Odstavecseseznamem"/>
        <w:spacing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Závadné látky se používají z důvodu úpravy a udržování vodní plochy, krmení ryb, důvodů zdravotních (desinfekčních) a k odstranění nežádoucí flóry a fauny ve vodní ploše. Použití uvedených prostředků může vést ke změně kvality vody i půdy (pH, množství živin) a způsobovat tak změny v kvalitě prostředí nutného pro zachování předmětů ochrany. </w:t>
      </w:r>
    </w:p>
    <w:p w:rsidR="00070D90" w:rsidRPr="00594D5B" w:rsidRDefault="00070D90" w:rsidP="00C2591C">
      <w:pPr>
        <w:pStyle w:val="Odstavecseseznamem"/>
        <w:spacing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</w:p>
    <w:p w:rsidR="00DE4FCE" w:rsidRPr="00594D5B" w:rsidRDefault="005D757D" w:rsidP="00C2591C">
      <w:pPr>
        <w:pStyle w:val="KRUTEXTODSTAVCE"/>
        <w:numPr>
          <w:ilvl w:val="0"/>
          <w:numId w:val="2"/>
        </w:numPr>
        <w:spacing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lastRenderedPageBreak/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3"/>
      </w:r>
    </w:p>
    <w:p w:rsidR="00DE4FCE" w:rsidRPr="00594D5B" w:rsidRDefault="00DE4FCE" w:rsidP="00C2591C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Předměty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hAnsi="Arial" w:cs="Arial"/>
          <w:iCs/>
        </w:rPr>
      </w:pPr>
    </w:p>
    <w:p w:rsidR="0051737C" w:rsidRPr="00594D5B" w:rsidRDefault="0051737C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zřizovat nová myslivecká zařízení (krmeliště, </w:t>
      </w:r>
      <w:proofErr w:type="spellStart"/>
      <w:r w:rsidRPr="00594D5B">
        <w:rPr>
          <w:rFonts w:ascii="Arial" w:hAnsi="Arial" w:cs="Arial"/>
          <w:iCs/>
          <w:u w:val="single"/>
        </w:rPr>
        <w:t>vnadiště</w:t>
      </w:r>
      <w:proofErr w:type="spellEnd"/>
      <w:r w:rsidRPr="00594D5B">
        <w:rPr>
          <w:rFonts w:ascii="Arial" w:hAnsi="Arial" w:cs="Arial"/>
          <w:iCs/>
          <w:u w:val="single"/>
        </w:rPr>
        <w:t xml:space="preserve">, újediště a slaniska) </w:t>
      </w:r>
    </w:p>
    <w:p w:rsidR="008E325B" w:rsidRPr="00594D5B" w:rsidRDefault="00185F34" w:rsidP="00C2591C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Druhy, které představují předměty ochrany,</w:t>
      </w:r>
      <w:r w:rsidR="0051737C" w:rsidRPr="00594D5B">
        <w:rPr>
          <w:rFonts w:ascii="Arial" w:hAnsi="Arial" w:cs="Arial"/>
          <w:iCs/>
        </w:rPr>
        <w:t xml:space="preserve"> citlivě reagují na zvýšený obsah dusíku a fosforu v půdě. Myslivecká zařízení způsobují koncentraci zvěře na poměrně malé ploše, která </w:t>
      </w:r>
      <w:proofErr w:type="gramStart"/>
      <w:r w:rsidR="0051737C" w:rsidRPr="00594D5B">
        <w:rPr>
          <w:rFonts w:ascii="Arial" w:hAnsi="Arial" w:cs="Arial"/>
          <w:iCs/>
        </w:rPr>
        <w:t>vede</w:t>
      </w:r>
      <w:proofErr w:type="gramEnd"/>
      <w:r w:rsidR="0051737C" w:rsidRPr="00594D5B">
        <w:rPr>
          <w:rFonts w:ascii="Arial" w:hAnsi="Arial" w:cs="Arial"/>
          <w:iCs/>
        </w:rPr>
        <w:t xml:space="preserve"> ke zvýšenému </w:t>
      </w:r>
      <w:proofErr w:type="gramStart"/>
      <w:r w:rsidR="0051737C" w:rsidRPr="00594D5B">
        <w:rPr>
          <w:rFonts w:ascii="Arial" w:hAnsi="Arial" w:cs="Arial"/>
          <w:iCs/>
        </w:rPr>
        <w:t>sešlapu</w:t>
      </w:r>
      <w:proofErr w:type="gramEnd"/>
      <w:r w:rsidR="0051737C" w:rsidRPr="00594D5B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 </w:t>
      </w:r>
      <w:r w:rsidR="00151FFA" w:rsidRPr="00594D5B">
        <w:rPr>
          <w:rFonts w:ascii="Arial" w:hAnsi="Arial" w:cs="Arial"/>
          <w:iCs/>
        </w:rPr>
        <w:t xml:space="preserve">Zvýšená koncentrace zvěře rovněž zásadním způsobem omezuje možnost přirozené obnovy lesních porostů – potlačuje zmlazení lesních dřevin a poškozuje mladší skupiny loupáním a ohryzem.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hAnsi="Arial" w:cs="Arial"/>
          <w:iCs/>
        </w:rPr>
      </w:pPr>
    </w:p>
    <w:p w:rsidR="00C9409B" w:rsidRPr="00594D5B" w:rsidRDefault="00C9409B" w:rsidP="00C2591C">
      <w:pPr>
        <w:pStyle w:val="Odstavecseseznamem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  <w:r w:rsidR="007D56D3" w:rsidRPr="00594D5B">
        <w:rPr>
          <w:rFonts w:ascii="Arial" w:hAnsi="Arial" w:cs="Arial"/>
          <w:iCs/>
          <w:u w:val="single"/>
        </w:rPr>
        <w:t>(vyjma orgánem ochrany přírody vytvářených zimovišť)</w:t>
      </w:r>
    </w:p>
    <w:p w:rsidR="009725AC" w:rsidRPr="00594D5B" w:rsidRDefault="00C9409B" w:rsidP="00C2591C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Deponování jakéhokoliv materiálu, a to i přechodně, může mít vliv na druhové složení vegetace v místě a blízkém okolí skladování, a působit tak změny v druhovém </w:t>
      </w:r>
    </w:p>
    <w:p w:rsidR="00C9409B" w:rsidRPr="00594D5B" w:rsidRDefault="00185F34" w:rsidP="00C2591C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složení společenstev (př. rozšíření ruderálních či expanzivních druhů na úkor druhů, které jsou předmětem ochrany).</w:t>
      </w:r>
    </w:p>
    <w:p w:rsidR="00FE6E13" w:rsidRPr="00594D5B" w:rsidRDefault="00FE6E13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070D90" w:rsidRPr="00594D5B" w:rsidRDefault="00070D90" w:rsidP="00070D90">
      <w:pPr>
        <w:spacing w:after="0" w:line="276" w:lineRule="auto"/>
        <w:jc w:val="both"/>
        <w:rPr>
          <w:rFonts w:ascii="Arial" w:hAnsi="Arial" w:cs="Arial"/>
          <w:bCs/>
          <w:i/>
          <w:iCs/>
          <w:u w:val="single"/>
        </w:rPr>
      </w:pPr>
      <w:r w:rsidRPr="00594D5B">
        <w:rPr>
          <w:rFonts w:ascii="Arial" w:hAnsi="Arial" w:cs="Arial"/>
          <w:bCs/>
          <w:u w:val="single"/>
        </w:rPr>
        <w:t xml:space="preserve">Katastrální území: </w:t>
      </w:r>
      <w:r w:rsidRPr="00594D5B">
        <w:rPr>
          <w:rFonts w:ascii="Arial" w:hAnsi="Arial" w:cs="Arial"/>
          <w:bCs/>
          <w:i/>
          <w:iCs/>
          <w:u w:val="single"/>
        </w:rPr>
        <w:t>765864, Těmice u Kamenice nad Lipou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070D90" w:rsidRPr="005805DD" w:rsidTr="003A5933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Výměra parcely</w:t>
            </w:r>
          </w:p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celková podle KN</w:t>
            </w:r>
          </w:p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(m</w:t>
            </w:r>
            <w:r w:rsidRPr="005805DD">
              <w:rPr>
                <w:rFonts w:ascii="Arial" w:hAnsi="Arial" w:cs="Arial"/>
                <w:bCs/>
                <w:sz w:val="18"/>
                <w:vertAlign w:val="superscript"/>
              </w:rPr>
              <w:t>2</w:t>
            </w:r>
            <w:r w:rsidRPr="005805DD">
              <w:rPr>
                <w:rFonts w:ascii="Arial" w:hAnsi="Arial" w:cs="Arial"/>
                <w:bCs/>
                <w:sz w:val="18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Výměra parcely</w:t>
            </w:r>
          </w:p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v ZCHÚ (m</w:t>
            </w:r>
            <w:r w:rsidRPr="005805DD">
              <w:rPr>
                <w:rFonts w:ascii="Arial" w:hAnsi="Arial" w:cs="Arial"/>
                <w:bCs/>
                <w:sz w:val="18"/>
                <w:vertAlign w:val="superscript"/>
              </w:rPr>
              <w:t>2</w:t>
            </w:r>
            <w:r w:rsidRPr="005805DD">
              <w:rPr>
                <w:rFonts w:ascii="Arial" w:hAnsi="Arial" w:cs="Arial"/>
                <w:bCs/>
                <w:sz w:val="18"/>
              </w:rPr>
              <w:t>)*</w:t>
            </w:r>
          </w:p>
        </w:tc>
      </w:tr>
      <w:tr w:rsidR="00070D90" w:rsidRPr="005805DD" w:rsidTr="003A5933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2310/4</w:t>
            </w:r>
          </w:p>
        </w:tc>
        <w:tc>
          <w:tcPr>
            <w:tcW w:w="992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vodní plocha</w:t>
            </w:r>
          </w:p>
        </w:tc>
        <w:tc>
          <w:tcPr>
            <w:tcW w:w="2268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rybník</w:t>
            </w:r>
          </w:p>
        </w:tc>
        <w:tc>
          <w:tcPr>
            <w:tcW w:w="1418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2904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2904</w:t>
            </w:r>
          </w:p>
        </w:tc>
      </w:tr>
      <w:tr w:rsidR="00070D90" w:rsidRPr="005805DD" w:rsidTr="003A5933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st. 248</w:t>
            </w:r>
          </w:p>
        </w:tc>
        <w:tc>
          <w:tcPr>
            <w:tcW w:w="992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proofErr w:type="spellStart"/>
            <w:r w:rsidRPr="005805DD">
              <w:rPr>
                <w:rFonts w:ascii="Arial" w:hAnsi="Arial" w:cs="Arial"/>
                <w:bCs/>
                <w:sz w:val="18"/>
              </w:rPr>
              <w:t>zast</w:t>
            </w:r>
            <w:proofErr w:type="spellEnd"/>
            <w:r w:rsidRPr="005805DD">
              <w:rPr>
                <w:rFonts w:ascii="Arial" w:hAnsi="Arial" w:cs="Arial"/>
                <w:bCs/>
                <w:sz w:val="18"/>
              </w:rPr>
              <w:t xml:space="preserve">. plocha a nádvoří </w:t>
            </w:r>
          </w:p>
        </w:tc>
        <w:tc>
          <w:tcPr>
            <w:tcW w:w="2268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1418" w:type="dxa"/>
            <w:tcBorders>
              <w:top w:val="nil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283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283</w:t>
            </w:r>
          </w:p>
        </w:tc>
      </w:tr>
      <w:tr w:rsidR="00070D90" w:rsidRPr="005805DD" w:rsidTr="003A593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070D90" w:rsidRPr="005805DD" w:rsidRDefault="00070D90" w:rsidP="00070D9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805DD">
              <w:rPr>
                <w:rFonts w:ascii="Arial" w:hAnsi="Arial" w:cs="Arial"/>
                <w:bCs/>
                <w:sz w:val="18"/>
              </w:rPr>
              <w:t>3187</w:t>
            </w:r>
          </w:p>
        </w:tc>
      </w:tr>
    </w:tbl>
    <w:p w:rsidR="00070D90" w:rsidRPr="00594D5B" w:rsidRDefault="00070D90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2F0ABB" w:rsidRPr="00594D5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>0,32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DE4FCE" w:rsidRPr="00594D5B" w:rsidRDefault="00DE4FCE" w:rsidP="00DE4FC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 xml:space="preserve">Území požívá ochrany od roku </w:t>
      </w:r>
      <w:r w:rsidR="00070D90" w:rsidRPr="00594D5B">
        <w:rPr>
          <w:rFonts w:ascii="Arial" w:hAnsi="Arial" w:cs="Arial"/>
          <w:bCs/>
        </w:rPr>
        <w:t>2001</w:t>
      </w:r>
      <w:r w:rsidRPr="00594D5B">
        <w:rPr>
          <w:rFonts w:ascii="Arial" w:hAnsi="Arial" w:cs="Arial"/>
          <w:bCs/>
        </w:rPr>
        <w:t xml:space="preserve">, kdy bylo vyhlášeno jako přírodní </w:t>
      </w:r>
      <w:r w:rsidR="00070D90" w:rsidRPr="00594D5B">
        <w:rPr>
          <w:rFonts w:ascii="Arial" w:hAnsi="Arial" w:cs="Arial"/>
          <w:bCs/>
        </w:rPr>
        <w:t>památka</w:t>
      </w:r>
      <w:r w:rsidRPr="00594D5B">
        <w:rPr>
          <w:rFonts w:ascii="Arial" w:hAnsi="Arial" w:cs="Arial"/>
          <w:bCs/>
        </w:rPr>
        <w:t xml:space="preserve"> nařízením Okresního úřadu v</w:t>
      </w:r>
      <w:r w:rsidR="00070D90" w:rsidRPr="00594D5B">
        <w:rPr>
          <w:rFonts w:ascii="Arial" w:hAnsi="Arial" w:cs="Arial"/>
          <w:bCs/>
        </w:rPr>
        <w:t> Pelhřimově č. 3/2001</w:t>
      </w:r>
      <w:r w:rsidRPr="00594D5B">
        <w:rPr>
          <w:rFonts w:ascii="Arial" w:hAnsi="Arial" w:cs="Arial"/>
          <w:bCs/>
        </w:rPr>
        <w:t xml:space="preserve">. Důvodem nového vyhlášení </w:t>
      </w:r>
      <w:r w:rsidR="004E4A5D" w:rsidRPr="00594D5B">
        <w:rPr>
          <w:rFonts w:ascii="Arial" w:hAnsi="Arial" w:cs="Arial"/>
          <w:bCs/>
        </w:rPr>
        <w:t xml:space="preserve">je především potřeba </w:t>
      </w:r>
      <w:r w:rsidR="004E4A5D" w:rsidRPr="00594D5B">
        <w:rPr>
          <w:rFonts w:ascii="Arial" w:hAnsi="Arial" w:cs="Arial"/>
        </w:rPr>
        <w:t xml:space="preserve">jednoznačně vymezit hranice </w:t>
      </w:r>
      <w:r w:rsidR="00070D90" w:rsidRPr="00594D5B">
        <w:rPr>
          <w:rFonts w:ascii="Arial" w:hAnsi="Arial" w:cs="Arial"/>
        </w:rPr>
        <w:t>PP</w:t>
      </w:r>
      <w:r w:rsidR="004E4A5D" w:rsidRPr="00594D5B">
        <w:rPr>
          <w:rFonts w:ascii="Arial" w:hAnsi="Arial" w:cs="Arial"/>
        </w:rPr>
        <w:t xml:space="preserve"> na základě přesných geodetických podkladů. Stávající vymezení formou výčtu dotčených pozemků je nejedno</w:t>
      </w:r>
      <w:r w:rsidR="00070D90" w:rsidRPr="00594D5B">
        <w:rPr>
          <w:rFonts w:ascii="Arial" w:hAnsi="Arial" w:cs="Arial"/>
        </w:rPr>
        <w:t xml:space="preserve">značné a v praxi působí potíže. Zároveň v současné době není součástí PP hráz rybníčka, což do velké míry komplikuje péči </w:t>
      </w:r>
      <w:r w:rsidR="00070D90" w:rsidRPr="00594D5B">
        <w:rPr>
          <w:rFonts w:ascii="Arial" w:hAnsi="Arial" w:cs="Arial"/>
        </w:rPr>
        <w:lastRenderedPageBreak/>
        <w:t xml:space="preserve">o toto zvláště chráněné území. </w:t>
      </w:r>
      <w:r w:rsidR="003838C9" w:rsidRPr="00594D5B">
        <w:rPr>
          <w:rFonts w:ascii="Arial" w:hAnsi="Arial" w:cs="Arial"/>
        </w:rPr>
        <w:t>Dalším důvodem nového vyhlášení je i nutnost, aby zřizovací předpis formálně i obsahově odpovídal současnému právnímu stavu.</w:t>
      </w:r>
    </w:p>
    <w:p w:rsidR="004126BD" w:rsidRPr="00594D5B" w:rsidRDefault="004126BD" w:rsidP="004126B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 xml:space="preserve">Rybníček je poměrně mladý, poprvé je jasně patrný až na leteckém snímku z roku 1953, na snímku z roku 1949 viditelný není podobně jako na starších historických mapách. Ze tří stran je rybníček obklopen lesem: severní okraj je převážně smrkový, východní a severozápadní porosty jsou převážně olšové s příměsí dalších druhů dřevin. Západní břeh je lemován porostem náletových dřevin s převahou břízy. Jižní a jihozápadní břeh přechází do mezofilní kosené louky. Příbřežní partie rybníka jsou lemovány úzkým porostem vysokých ostřic v mozaice s vegetací bahnitých substrátů s výskytem </w:t>
      </w:r>
      <w:proofErr w:type="spellStart"/>
      <w:r w:rsidRPr="00594D5B">
        <w:rPr>
          <w:rFonts w:ascii="Arial" w:hAnsi="Arial" w:cs="Arial"/>
          <w:bCs/>
        </w:rPr>
        <w:t>bazanovce</w:t>
      </w:r>
      <w:proofErr w:type="spellEnd"/>
      <w:r w:rsidRPr="00594D5B">
        <w:rPr>
          <w:rFonts w:ascii="Arial" w:hAnsi="Arial" w:cs="Arial"/>
          <w:bCs/>
        </w:rPr>
        <w:t>, ďáblíku a blatouchu bahenního (</w:t>
      </w:r>
      <w:proofErr w:type="spellStart"/>
      <w:r w:rsidRPr="00594D5B">
        <w:rPr>
          <w:rFonts w:ascii="Arial" w:hAnsi="Arial" w:cs="Arial"/>
          <w:bCs/>
          <w:i/>
        </w:rPr>
        <w:t>Caltha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palustris</w:t>
      </w:r>
      <w:proofErr w:type="spellEnd"/>
      <w:r w:rsidRPr="00594D5B">
        <w:rPr>
          <w:rFonts w:ascii="Arial" w:hAnsi="Arial" w:cs="Arial"/>
          <w:bCs/>
        </w:rPr>
        <w:t xml:space="preserve">). Severní okraje jsou výrazněji zrašeliněné s roztroušeným výskytem </w:t>
      </w:r>
      <w:proofErr w:type="spellStart"/>
      <w:r w:rsidRPr="00594D5B">
        <w:rPr>
          <w:rFonts w:ascii="Arial" w:hAnsi="Arial" w:cs="Arial"/>
          <w:bCs/>
        </w:rPr>
        <w:t>bazanovce</w:t>
      </w:r>
      <w:proofErr w:type="spellEnd"/>
      <w:r w:rsidRPr="00594D5B">
        <w:rPr>
          <w:rFonts w:ascii="Arial" w:hAnsi="Arial" w:cs="Arial"/>
          <w:bCs/>
        </w:rPr>
        <w:t>. V tomto prostoru byla v minulosti vysazena rosnatka okrouhlolistá (</w:t>
      </w:r>
      <w:proofErr w:type="spellStart"/>
      <w:r w:rsidRPr="00594D5B">
        <w:rPr>
          <w:rFonts w:ascii="Arial" w:hAnsi="Arial" w:cs="Arial"/>
          <w:bCs/>
          <w:i/>
        </w:rPr>
        <w:t>Drosera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rotundifolia</w:t>
      </w:r>
      <w:proofErr w:type="spellEnd"/>
      <w:r w:rsidRPr="00594D5B">
        <w:rPr>
          <w:rFonts w:ascii="Arial" w:hAnsi="Arial" w:cs="Arial"/>
          <w:bCs/>
        </w:rPr>
        <w:t xml:space="preserve">), která ale s největší pravděpodobností vyhynula. V samotné nádrži nebyla zjištěna žádná </w:t>
      </w:r>
      <w:proofErr w:type="spellStart"/>
      <w:r w:rsidRPr="00594D5B">
        <w:rPr>
          <w:rFonts w:ascii="Arial" w:hAnsi="Arial" w:cs="Arial"/>
          <w:bCs/>
        </w:rPr>
        <w:t>makrofyta</w:t>
      </w:r>
      <w:proofErr w:type="spellEnd"/>
      <w:r w:rsidRPr="00594D5B">
        <w:rPr>
          <w:rFonts w:ascii="Arial" w:hAnsi="Arial" w:cs="Arial"/>
          <w:bCs/>
        </w:rPr>
        <w:t xml:space="preserve">, avšak u dna se po odbahnění vyvinula vegetace parožnatek, pravděpodobně </w:t>
      </w:r>
      <w:proofErr w:type="spellStart"/>
      <w:r w:rsidRPr="00594D5B">
        <w:rPr>
          <w:rFonts w:ascii="Arial" w:hAnsi="Arial" w:cs="Arial"/>
          <w:bCs/>
          <w:i/>
        </w:rPr>
        <w:t>Nitella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flexilis</w:t>
      </w:r>
      <w:proofErr w:type="spellEnd"/>
      <w:r w:rsidRPr="00594D5B">
        <w:rPr>
          <w:rFonts w:ascii="Arial" w:hAnsi="Arial" w:cs="Arial"/>
          <w:bCs/>
        </w:rPr>
        <w:t>, která tvoří poměrně hodně biomasy. Její výskyt nelze přepokládat trvale, ale pouze v některých letech.</w:t>
      </w:r>
    </w:p>
    <w:p w:rsidR="004126BD" w:rsidRPr="00594D5B" w:rsidRDefault="004126BD" w:rsidP="004126B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 xml:space="preserve">Z bezobratlých bylo na lokalitě systematicky zkoumáno pouze společenstvo vážek, a to v roce 2010. Potvrzen byl výskyt devíti běžných </w:t>
      </w:r>
      <w:proofErr w:type="spellStart"/>
      <w:r w:rsidRPr="00594D5B">
        <w:rPr>
          <w:rFonts w:ascii="Arial" w:hAnsi="Arial" w:cs="Arial"/>
          <w:bCs/>
        </w:rPr>
        <w:t>euryvalentních</w:t>
      </w:r>
      <w:proofErr w:type="spellEnd"/>
      <w:r w:rsidRPr="00594D5B">
        <w:rPr>
          <w:rFonts w:ascii="Arial" w:hAnsi="Arial" w:cs="Arial"/>
          <w:bCs/>
        </w:rPr>
        <w:t xml:space="preserve"> druhů. Tři z nich (vážka čtyřskvrnná </w:t>
      </w:r>
      <w:proofErr w:type="spellStart"/>
      <w:r w:rsidRPr="00594D5B">
        <w:rPr>
          <w:rFonts w:ascii="Arial" w:hAnsi="Arial" w:cs="Arial"/>
          <w:bCs/>
          <w:i/>
        </w:rPr>
        <w:t>Libellula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quadrimaculata</w:t>
      </w:r>
      <w:proofErr w:type="spellEnd"/>
      <w:r w:rsidRPr="00594D5B">
        <w:rPr>
          <w:rFonts w:ascii="Arial" w:hAnsi="Arial" w:cs="Arial"/>
          <w:bCs/>
        </w:rPr>
        <w:t xml:space="preserve">, šídlo modré </w:t>
      </w:r>
      <w:proofErr w:type="spellStart"/>
      <w:r w:rsidRPr="00594D5B">
        <w:rPr>
          <w:rFonts w:ascii="Arial" w:hAnsi="Arial" w:cs="Arial"/>
          <w:bCs/>
          <w:i/>
        </w:rPr>
        <w:t>Aeshna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cyanea</w:t>
      </w:r>
      <w:proofErr w:type="spellEnd"/>
      <w:r w:rsidRPr="00594D5B">
        <w:rPr>
          <w:rFonts w:ascii="Arial" w:hAnsi="Arial" w:cs="Arial"/>
          <w:bCs/>
        </w:rPr>
        <w:t xml:space="preserve">, šidélko páskované </w:t>
      </w:r>
      <w:proofErr w:type="spellStart"/>
      <w:r w:rsidRPr="00594D5B">
        <w:rPr>
          <w:rFonts w:ascii="Arial" w:hAnsi="Arial" w:cs="Arial"/>
          <w:bCs/>
          <w:i/>
        </w:rPr>
        <w:t>Coenagrion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puella</w:t>
      </w:r>
      <w:proofErr w:type="spellEnd"/>
      <w:r w:rsidRPr="00594D5B">
        <w:rPr>
          <w:rFonts w:ascii="Arial" w:hAnsi="Arial" w:cs="Arial"/>
          <w:bCs/>
        </w:rPr>
        <w:t xml:space="preserve">, vážka rudá </w:t>
      </w:r>
      <w:proofErr w:type="spellStart"/>
      <w:r w:rsidRPr="00594D5B">
        <w:rPr>
          <w:rFonts w:ascii="Arial" w:hAnsi="Arial" w:cs="Arial"/>
          <w:bCs/>
          <w:i/>
        </w:rPr>
        <w:t>Sympetrum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sanguineum</w:t>
      </w:r>
      <w:proofErr w:type="spellEnd"/>
      <w:r w:rsidRPr="00594D5B">
        <w:rPr>
          <w:rFonts w:ascii="Arial" w:hAnsi="Arial" w:cs="Arial"/>
          <w:bCs/>
        </w:rPr>
        <w:t>) byly potvrzeny i v roce 2020. V rybníčku žije populace škeble rybničné (</w:t>
      </w:r>
      <w:proofErr w:type="spellStart"/>
      <w:r w:rsidRPr="00594D5B">
        <w:rPr>
          <w:rFonts w:ascii="Arial" w:hAnsi="Arial" w:cs="Arial"/>
          <w:bCs/>
          <w:i/>
        </w:rPr>
        <w:t>Anodonta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cygnea</w:t>
      </w:r>
      <w:proofErr w:type="spellEnd"/>
      <w:r w:rsidRPr="00594D5B">
        <w:rPr>
          <w:rFonts w:ascii="Arial" w:hAnsi="Arial" w:cs="Arial"/>
          <w:bCs/>
          <w:i/>
        </w:rPr>
        <w:t>)</w:t>
      </w:r>
      <w:r w:rsidRPr="00594D5B">
        <w:rPr>
          <w:rFonts w:ascii="Arial" w:hAnsi="Arial" w:cs="Arial"/>
          <w:bCs/>
        </w:rPr>
        <w:t xml:space="preserve">. </w:t>
      </w:r>
    </w:p>
    <w:p w:rsidR="004126BD" w:rsidRPr="00594D5B" w:rsidRDefault="004126BD" w:rsidP="004126BD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 xml:space="preserve">Ichtyofaunu rybníčka nyní tvoří vedle slunky a střevle také mihule potoční </w:t>
      </w:r>
      <w:r w:rsidRPr="00594D5B">
        <w:rPr>
          <w:rFonts w:ascii="Arial" w:hAnsi="Arial" w:cs="Arial"/>
          <w:bCs/>
          <w:i/>
        </w:rPr>
        <w:t>(</w:t>
      </w:r>
      <w:proofErr w:type="spellStart"/>
      <w:r w:rsidRPr="00594D5B">
        <w:rPr>
          <w:rFonts w:ascii="Arial" w:hAnsi="Arial" w:cs="Arial"/>
          <w:bCs/>
          <w:i/>
        </w:rPr>
        <w:t>Lampetra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planeri</w:t>
      </w:r>
      <w:proofErr w:type="spellEnd"/>
      <w:r w:rsidRPr="00594D5B">
        <w:rPr>
          <w:rFonts w:ascii="Arial" w:hAnsi="Arial" w:cs="Arial"/>
          <w:bCs/>
        </w:rPr>
        <w:t>) a z potoka sem pronikají pstruzi obecní (</w:t>
      </w:r>
      <w:proofErr w:type="spellStart"/>
      <w:r w:rsidRPr="00594D5B">
        <w:rPr>
          <w:rFonts w:ascii="Arial" w:hAnsi="Arial" w:cs="Arial"/>
          <w:bCs/>
          <w:i/>
        </w:rPr>
        <w:t>Salmo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trutta</w:t>
      </w:r>
      <w:proofErr w:type="spellEnd"/>
      <w:r w:rsidRPr="00594D5B">
        <w:rPr>
          <w:rFonts w:ascii="Arial" w:hAnsi="Arial" w:cs="Arial"/>
          <w:bCs/>
        </w:rPr>
        <w:t>). V minulosti zde byl zjištěn také úhoř říční (</w:t>
      </w:r>
      <w:r w:rsidRPr="00594D5B">
        <w:rPr>
          <w:rFonts w:ascii="Arial" w:hAnsi="Arial" w:cs="Arial"/>
          <w:bCs/>
          <w:i/>
        </w:rPr>
        <w:t xml:space="preserve">Anguilla </w:t>
      </w:r>
      <w:proofErr w:type="spellStart"/>
      <w:r w:rsidRPr="00594D5B">
        <w:rPr>
          <w:rFonts w:ascii="Arial" w:hAnsi="Arial" w:cs="Arial"/>
          <w:bCs/>
          <w:i/>
        </w:rPr>
        <w:t>anguilla</w:t>
      </w:r>
      <w:proofErr w:type="spellEnd"/>
      <w:r w:rsidRPr="00594D5B">
        <w:rPr>
          <w:rFonts w:ascii="Arial" w:hAnsi="Arial" w:cs="Arial"/>
          <w:bCs/>
        </w:rPr>
        <w:t>), lipan podhorní (</w:t>
      </w:r>
      <w:proofErr w:type="spellStart"/>
      <w:r w:rsidRPr="00594D5B">
        <w:rPr>
          <w:rFonts w:ascii="Arial" w:hAnsi="Arial" w:cs="Arial"/>
          <w:bCs/>
          <w:i/>
        </w:rPr>
        <w:t>Thymallus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thymallus</w:t>
      </w:r>
      <w:proofErr w:type="spellEnd"/>
      <w:r w:rsidRPr="00594D5B">
        <w:rPr>
          <w:rFonts w:ascii="Arial" w:hAnsi="Arial" w:cs="Arial"/>
          <w:bCs/>
        </w:rPr>
        <w:t>), okoun říční (</w:t>
      </w:r>
      <w:proofErr w:type="spellStart"/>
      <w:r w:rsidRPr="00594D5B">
        <w:rPr>
          <w:rFonts w:ascii="Arial" w:hAnsi="Arial" w:cs="Arial"/>
          <w:bCs/>
          <w:i/>
        </w:rPr>
        <w:t>Perca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fluviatilis</w:t>
      </w:r>
      <w:proofErr w:type="spellEnd"/>
      <w:r w:rsidRPr="00594D5B">
        <w:rPr>
          <w:rFonts w:ascii="Arial" w:hAnsi="Arial" w:cs="Arial"/>
          <w:bCs/>
        </w:rPr>
        <w:t>) a mřenka mramorovaná (</w:t>
      </w:r>
      <w:proofErr w:type="spellStart"/>
      <w:r w:rsidRPr="00594D5B">
        <w:rPr>
          <w:rFonts w:ascii="Arial" w:hAnsi="Arial" w:cs="Arial"/>
          <w:bCs/>
          <w:i/>
        </w:rPr>
        <w:t>Barbatula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barbatula</w:t>
      </w:r>
      <w:proofErr w:type="spellEnd"/>
      <w:r w:rsidRPr="00594D5B">
        <w:rPr>
          <w:rFonts w:ascii="Arial" w:hAnsi="Arial" w:cs="Arial"/>
          <w:bCs/>
        </w:rPr>
        <w:t>), v posledních letech se však na rybníčku nevyskytují. Rybníček je biotopem několika druhů obojživelníků, typických pro zdejší oblast: čolka horského, čolka obecného (</w:t>
      </w:r>
      <w:proofErr w:type="spellStart"/>
      <w:r w:rsidRPr="00594D5B">
        <w:rPr>
          <w:rFonts w:ascii="Arial" w:hAnsi="Arial" w:cs="Arial"/>
          <w:bCs/>
          <w:i/>
        </w:rPr>
        <w:t>Lissotriton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vulgaris</w:t>
      </w:r>
      <w:proofErr w:type="spellEnd"/>
      <w:r w:rsidRPr="00594D5B">
        <w:rPr>
          <w:rFonts w:ascii="Arial" w:hAnsi="Arial" w:cs="Arial"/>
          <w:bCs/>
        </w:rPr>
        <w:t>), skokana hnědého (</w:t>
      </w:r>
      <w:proofErr w:type="spellStart"/>
      <w:r w:rsidRPr="00594D5B">
        <w:rPr>
          <w:rFonts w:ascii="Arial" w:hAnsi="Arial" w:cs="Arial"/>
          <w:bCs/>
          <w:i/>
        </w:rPr>
        <w:t>Rana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temporaria</w:t>
      </w:r>
      <w:proofErr w:type="spellEnd"/>
      <w:r w:rsidRPr="00594D5B">
        <w:rPr>
          <w:rFonts w:ascii="Arial" w:hAnsi="Arial" w:cs="Arial"/>
          <w:bCs/>
        </w:rPr>
        <w:t xml:space="preserve">), ropuchu obecnou </w:t>
      </w:r>
      <w:r w:rsidRPr="00594D5B">
        <w:rPr>
          <w:rFonts w:ascii="Arial" w:hAnsi="Arial" w:cs="Arial"/>
          <w:bCs/>
          <w:i/>
        </w:rPr>
        <w:t>(</w:t>
      </w:r>
      <w:proofErr w:type="spellStart"/>
      <w:r w:rsidRPr="00594D5B">
        <w:rPr>
          <w:rFonts w:ascii="Arial" w:hAnsi="Arial" w:cs="Arial"/>
          <w:bCs/>
          <w:i/>
        </w:rPr>
        <w:t>Bufo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bufo</w:t>
      </w:r>
      <w:proofErr w:type="spellEnd"/>
      <w:r w:rsidRPr="00594D5B">
        <w:rPr>
          <w:rFonts w:ascii="Arial" w:hAnsi="Arial" w:cs="Arial"/>
          <w:bCs/>
        </w:rPr>
        <w:t>) a skokana krátkonohého (</w:t>
      </w:r>
      <w:proofErr w:type="spellStart"/>
      <w:r w:rsidRPr="00594D5B">
        <w:rPr>
          <w:rFonts w:ascii="Arial" w:hAnsi="Arial" w:cs="Arial"/>
          <w:bCs/>
          <w:i/>
        </w:rPr>
        <w:t>Pelophylax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lessonae</w:t>
      </w:r>
      <w:proofErr w:type="spellEnd"/>
      <w:r w:rsidRPr="00594D5B">
        <w:rPr>
          <w:rFonts w:ascii="Arial" w:hAnsi="Arial" w:cs="Arial"/>
          <w:bCs/>
        </w:rPr>
        <w:t>, příp.</w:t>
      </w:r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Pelophylax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esculentus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synkl</w:t>
      </w:r>
      <w:proofErr w:type="spellEnd"/>
      <w:r w:rsidRPr="00594D5B">
        <w:rPr>
          <w:rFonts w:ascii="Arial" w:hAnsi="Arial" w:cs="Arial"/>
          <w:bCs/>
          <w:i/>
        </w:rPr>
        <w:t>.</w:t>
      </w:r>
      <w:r w:rsidRPr="00594D5B">
        <w:rPr>
          <w:rFonts w:ascii="Arial" w:hAnsi="Arial" w:cs="Arial"/>
          <w:bCs/>
        </w:rPr>
        <w:t>). Všechny tyto druhy se v r. 2020 na rybníčku rozmnožovaly. V roce 2011 zde byla zjištěna i blatnice skvrnitá (</w:t>
      </w:r>
      <w:proofErr w:type="spellStart"/>
      <w:r w:rsidRPr="00594D5B">
        <w:rPr>
          <w:rFonts w:ascii="Arial" w:hAnsi="Arial" w:cs="Arial"/>
          <w:bCs/>
          <w:i/>
        </w:rPr>
        <w:t>Pelobates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fuscus</w:t>
      </w:r>
      <w:proofErr w:type="spellEnd"/>
      <w:r w:rsidRPr="00594D5B">
        <w:rPr>
          <w:rFonts w:ascii="Arial" w:hAnsi="Arial" w:cs="Arial"/>
          <w:bCs/>
        </w:rPr>
        <w:t>), její výskyt však již později potvrzen nebyl. Z plazů uvádí Pavel Koubek v době vyhlášení území v lokalitě výskyt ještěrky živorodé (</w:t>
      </w:r>
      <w:proofErr w:type="spellStart"/>
      <w:r w:rsidRPr="00594D5B">
        <w:rPr>
          <w:rFonts w:ascii="Arial" w:hAnsi="Arial" w:cs="Arial"/>
          <w:bCs/>
          <w:i/>
        </w:rPr>
        <w:t>Zootoca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vivipara</w:t>
      </w:r>
      <w:proofErr w:type="spellEnd"/>
      <w:r w:rsidRPr="00594D5B">
        <w:rPr>
          <w:rFonts w:ascii="Arial" w:hAnsi="Arial" w:cs="Arial"/>
          <w:bCs/>
        </w:rPr>
        <w:t>) a užovky obojkové (</w:t>
      </w:r>
      <w:proofErr w:type="spellStart"/>
      <w:r w:rsidRPr="00594D5B">
        <w:rPr>
          <w:rFonts w:ascii="Arial" w:hAnsi="Arial" w:cs="Arial"/>
          <w:bCs/>
          <w:i/>
        </w:rPr>
        <w:t>Natrix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natrix</w:t>
      </w:r>
      <w:proofErr w:type="spellEnd"/>
      <w:r w:rsidRPr="00594D5B">
        <w:rPr>
          <w:rFonts w:ascii="Arial" w:hAnsi="Arial" w:cs="Arial"/>
          <w:bCs/>
        </w:rPr>
        <w:t>), novější nálezy těchto druhů však chybí. V roce 2014 a 2016 proběhl v blízkosti rybníčka ornitologický průzkum, při němž bylo zjištěno celkem 33 druhů ptáků, zpravidla typické lesní druhy. Z druhů vázaných přímo na rybníček byla zaznamenána kachna divoká (</w:t>
      </w:r>
      <w:proofErr w:type="spellStart"/>
      <w:r w:rsidRPr="00594D5B">
        <w:rPr>
          <w:rFonts w:ascii="Arial" w:hAnsi="Arial" w:cs="Arial"/>
          <w:bCs/>
          <w:i/>
        </w:rPr>
        <w:t>Anas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platyrhynchos</w:t>
      </w:r>
      <w:proofErr w:type="spellEnd"/>
      <w:r w:rsidRPr="00594D5B">
        <w:rPr>
          <w:rFonts w:ascii="Arial" w:hAnsi="Arial" w:cs="Arial"/>
          <w:bCs/>
        </w:rPr>
        <w:t>) a zvláště chráněný ledňáček říční (</w:t>
      </w:r>
      <w:proofErr w:type="spellStart"/>
      <w:r w:rsidRPr="00594D5B">
        <w:rPr>
          <w:rFonts w:ascii="Arial" w:hAnsi="Arial" w:cs="Arial"/>
          <w:bCs/>
          <w:i/>
        </w:rPr>
        <w:t>Alcedo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atthis</w:t>
      </w:r>
      <w:proofErr w:type="spellEnd"/>
      <w:r w:rsidRPr="00594D5B">
        <w:rPr>
          <w:rFonts w:ascii="Arial" w:hAnsi="Arial" w:cs="Arial"/>
          <w:bCs/>
        </w:rPr>
        <w:t>). Okolní převážně lesní prostředí je biotopem zvláště chráněného krkavce velkého (</w:t>
      </w:r>
      <w:proofErr w:type="spellStart"/>
      <w:r w:rsidRPr="00594D5B">
        <w:rPr>
          <w:rFonts w:ascii="Arial" w:hAnsi="Arial" w:cs="Arial"/>
          <w:bCs/>
          <w:i/>
        </w:rPr>
        <w:t>Corvus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corax</w:t>
      </w:r>
      <w:proofErr w:type="spellEnd"/>
      <w:r w:rsidRPr="00594D5B">
        <w:rPr>
          <w:rFonts w:ascii="Arial" w:hAnsi="Arial" w:cs="Arial"/>
          <w:bCs/>
        </w:rPr>
        <w:t>), lejska šedého (</w:t>
      </w:r>
      <w:proofErr w:type="spellStart"/>
      <w:r w:rsidRPr="00594D5B">
        <w:rPr>
          <w:rFonts w:ascii="Arial" w:hAnsi="Arial" w:cs="Arial"/>
          <w:bCs/>
          <w:i/>
        </w:rPr>
        <w:t>Muscicapa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striata</w:t>
      </w:r>
      <w:proofErr w:type="spellEnd"/>
      <w:r w:rsidRPr="00594D5B">
        <w:rPr>
          <w:rFonts w:ascii="Arial" w:hAnsi="Arial" w:cs="Arial"/>
          <w:bCs/>
        </w:rPr>
        <w:t>) a sluky lesní (</w:t>
      </w:r>
      <w:proofErr w:type="spellStart"/>
      <w:r w:rsidRPr="00594D5B">
        <w:rPr>
          <w:rFonts w:ascii="Arial" w:hAnsi="Arial" w:cs="Arial"/>
          <w:bCs/>
          <w:i/>
        </w:rPr>
        <w:t>Scolopax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rusticola</w:t>
      </w:r>
      <w:proofErr w:type="spellEnd"/>
      <w:r w:rsidRPr="00594D5B">
        <w:rPr>
          <w:rFonts w:ascii="Arial" w:hAnsi="Arial" w:cs="Arial"/>
          <w:bCs/>
        </w:rPr>
        <w:t>). Rybníček navštěvuje i vydra říční (</w:t>
      </w:r>
      <w:proofErr w:type="spellStart"/>
      <w:r w:rsidRPr="00594D5B">
        <w:rPr>
          <w:rFonts w:ascii="Arial" w:hAnsi="Arial" w:cs="Arial"/>
          <w:bCs/>
          <w:i/>
        </w:rPr>
        <w:t>Lutra</w:t>
      </w:r>
      <w:proofErr w:type="spellEnd"/>
      <w:r w:rsidRPr="00594D5B">
        <w:rPr>
          <w:rFonts w:ascii="Arial" w:hAnsi="Arial" w:cs="Arial"/>
          <w:bCs/>
          <w:i/>
        </w:rPr>
        <w:t xml:space="preserve"> </w:t>
      </w:r>
      <w:proofErr w:type="spellStart"/>
      <w:r w:rsidRPr="00594D5B">
        <w:rPr>
          <w:rFonts w:ascii="Arial" w:hAnsi="Arial" w:cs="Arial"/>
          <w:bCs/>
          <w:i/>
        </w:rPr>
        <w:t>lutra</w:t>
      </w:r>
      <w:proofErr w:type="spellEnd"/>
      <w:r w:rsidRPr="00594D5B">
        <w:rPr>
          <w:rFonts w:ascii="Arial" w:hAnsi="Arial" w:cs="Arial"/>
          <w:bCs/>
        </w:rPr>
        <w:t>).</w:t>
      </w: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861FF3" w:rsidRPr="00594D5B" w:rsidRDefault="00A71458" w:rsidP="00861FF3">
      <w:pPr>
        <w:spacing w:before="120" w:after="0" w:line="276" w:lineRule="auto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>Vzhledem ke skutečnosti, že se PP Rybníček u Starých Hutí nachází v ochranném pásmu PP Huťský potok, je PP Rybníček u Starých Hutí navržena bez ochranného pásma.</w:t>
      </w:r>
    </w:p>
    <w:p w:rsidR="00A71458" w:rsidRPr="00594D5B" w:rsidRDefault="00A71458" w:rsidP="00861FF3">
      <w:pPr>
        <w:spacing w:before="120" w:after="0" w:line="276" w:lineRule="auto"/>
        <w:rPr>
          <w:rFonts w:ascii="Arial" w:hAnsi="Arial" w:cs="Arial"/>
          <w:bCs/>
        </w:rPr>
      </w:pPr>
    </w:p>
    <w:p w:rsidR="001B7904" w:rsidRPr="00594D5B" w:rsidRDefault="001B7904" w:rsidP="001B7904">
      <w:pPr>
        <w:pStyle w:val="KRUTEXTODSTAVCE"/>
        <w:spacing w:before="60"/>
        <w:jc w:val="both"/>
        <w:rPr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A71458" w:rsidRPr="00594D5B">
        <w:rPr>
          <w:sz w:val="22"/>
          <w:szCs w:val="22"/>
        </w:rPr>
        <w:t>PP</w:t>
      </w:r>
      <w:r w:rsidRPr="00594D5B">
        <w:rPr>
          <w:sz w:val="22"/>
          <w:szCs w:val="22"/>
        </w:rPr>
        <w:t xml:space="preserve"> </w:t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t xml:space="preserve">2. Kopie základní mapy s orientačním zákresem hranic </w:t>
      </w:r>
      <w:r w:rsidR="00A71458" w:rsidRPr="00594D5B">
        <w:rPr>
          <w:szCs w:val="22"/>
        </w:rPr>
        <w:t>PP</w:t>
      </w:r>
      <w:r w:rsidRPr="00594D5B">
        <w:rPr>
          <w:szCs w:val="22"/>
        </w:rPr>
        <w:br w:type="page"/>
      </w:r>
    </w:p>
    <w:p w:rsidR="007D5FAE" w:rsidRPr="00594D5B" w:rsidRDefault="007A0B47" w:rsidP="007D5FAE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noProof/>
          <w:szCs w:val="2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-414020</wp:posOffset>
            </wp:positionH>
            <wp:positionV relativeFrom="paragraph">
              <wp:posOffset>233680</wp:posOffset>
            </wp:positionV>
            <wp:extent cx="6707505" cy="9474844"/>
            <wp:effectExtent l="0" t="0" r="0" b="0"/>
            <wp:wrapNone/>
            <wp:docPr id="1" name="Obrázek 1" descr="C:\Users\janova\Desktop\Rybnicek_u_Starych_Huti\plan_pece_navrh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Rybnicek_u_Starych_Huti\plan_pece_navrh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" t="4677" r="2437"/>
                    <a:stretch/>
                  </pic:blipFill>
                  <pic:spPr bwMode="auto">
                    <a:xfrm>
                      <a:off x="0" y="0"/>
                      <a:ext cx="6712919" cy="948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594D5B">
        <w:rPr>
          <w:b/>
          <w:szCs w:val="22"/>
        </w:rPr>
        <w:t xml:space="preserve">Příloha č. 1: Katastrální mapa s podrobným zákresem hranic </w:t>
      </w:r>
      <w:r w:rsidR="00A71458" w:rsidRPr="00594D5B">
        <w:rPr>
          <w:b/>
          <w:szCs w:val="22"/>
        </w:rPr>
        <w:t>PP</w:t>
      </w:r>
    </w:p>
    <w:p w:rsidR="0018054B" w:rsidRPr="00594D5B" w:rsidRDefault="0018054B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br w:type="page"/>
      </w:r>
    </w:p>
    <w:p w:rsidR="0018054B" w:rsidRPr="00594D5B" w:rsidRDefault="007A0B47" w:rsidP="0018054B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b/>
          <w:noProof/>
          <w:szCs w:val="2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-337820</wp:posOffset>
            </wp:positionH>
            <wp:positionV relativeFrom="paragraph">
              <wp:posOffset>224155</wp:posOffset>
            </wp:positionV>
            <wp:extent cx="6635750" cy="9461354"/>
            <wp:effectExtent l="0" t="0" r="0" b="6985"/>
            <wp:wrapNone/>
            <wp:docPr id="4" name="Obrázek 4" descr="C:\Users\janova\Desktop\Rybnicek_u_Starych_Huti\plan_pece_navrh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Rybnicek_u_Starych_Huti\plan_pece_navrh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" t="5025" r="3108" b="281"/>
                    <a:stretch/>
                  </pic:blipFill>
                  <pic:spPr bwMode="auto">
                    <a:xfrm>
                      <a:off x="0" y="0"/>
                      <a:ext cx="6635750" cy="946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b/>
          <w:szCs w:val="22"/>
        </w:rPr>
        <w:t xml:space="preserve">Příloha č. 2: Kopie základní mapy s orientačním zákresem hranic </w:t>
      </w:r>
      <w:r w:rsidRPr="00594D5B">
        <w:rPr>
          <w:b/>
          <w:szCs w:val="22"/>
        </w:rPr>
        <w:t>PP</w:t>
      </w:r>
    </w:p>
    <w:p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EB1" w:rsidRDefault="007C7EB1" w:rsidP="00882360">
      <w:pPr>
        <w:spacing w:after="0" w:line="240" w:lineRule="auto"/>
      </w:pPr>
      <w:r>
        <w:separator/>
      </w:r>
    </w:p>
  </w:endnote>
  <w:endnote w:type="continuationSeparator" w:id="0">
    <w:p w:rsidR="007C7EB1" w:rsidRDefault="007C7EB1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EB1" w:rsidRDefault="007C7EB1" w:rsidP="00882360">
      <w:pPr>
        <w:spacing w:after="0" w:line="240" w:lineRule="auto"/>
      </w:pPr>
      <w:r>
        <w:separator/>
      </w:r>
    </w:p>
  </w:footnote>
  <w:footnote w:type="continuationSeparator" w:id="0">
    <w:p w:rsidR="007C7EB1" w:rsidRDefault="007C7EB1" w:rsidP="00882360">
      <w:pPr>
        <w:spacing w:after="0" w:line="240" w:lineRule="auto"/>
      </w:pPr>
      <w:r>
        <w:continuationSeparator/>
      </w:r>
    </w:p>
  </w:footnote>
  <w:footnote w:id="1">
    <w:p w:rsidR="00882360" w:rsidRPr="00882360" w:rsidRDefault="00882360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:rsidR="00882360" w:rsidRPr="00882360" w:rsidRDefault="00882360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  <w:footnote w:id="3">
    <w:p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3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70D90"/>
    <w:rsid w:val="00097552"/>
    <w:rsid w:val="000A7640"/>
    <w:rsid w:val="001142FC"/>
    <w:rsid w:val="00151FFA"/>
    <w:rsid w:val="0018054B"/>
    <w:rsid w:val="00185F34"/>
    <w:rsid w:val="00190535"/>
    <w:rsid w:val="001A16DF"/>
    <w:rsid w:val="001B7904"/>
    <w:rsid w:val="002477CD"/>
    <w:rsid w:val="002E650C"/>
    <w:rsid w:val="002F0ABB"/>
    <w:rsid w:val="00343DCC"/>
    <w:rsid w:val="003838C9"/>
    <w:rsid w:val="003E2C5E"/>
    <w:rsid w:val="004126BD"/>
    <w:rsid w:val="004E4A5D"/>
    <w:rsid w:val="004E57A3"/>
    <w:rsid w:val="0051737C"/>
    <w:rsid w:val="005805DD"/>
    <w:rsid w:val="00594D5B"/>
    <w:rsid w:val="005D757D"/>
    <w:rsid w:val="006037DF"/>
    <w:rsid w:val="00661D2F"/>
    <w:rsid w:val="006F7C40"/>
    <w:rsid w:val="007A0B47"/>
    <w:rsid w:val="007A5BB3"/>
    <w:rsid w:val="007C7EB1"/>
    <w:rsid w:val="007D56D3"/>
    <w:rsid w:val="007D5FAE"/>
    <w:rsid w:val="00834523"/>
    <w:rsid w:val="00861FF3"/>
    <w:rsid w:val="00882360"/>
    <w:rsid w:val="008E325B"/>
    <w:rsid w:val="00933189"/>
    <w:rsid w:val="009725AC"/>
    <w:rsid w:val="00A13722"/>
    <w:rsid w:val="00A71458"/>
    <w:rsid w:val="00B257A2"/>
    <w:rsid w:val="00B6069A"/>
    <w:rsid w:val="00BB5431"/>
    <w:rsid w:val="00C2591C"/>
    <w:rsid w:val="00C9409B"/>
    <w:rsid w:val="00D524AD"/>
    <w:rsid w:val="00DE1CAD"/>
    <w:rsid w:val="00DE4FCE"/>
    <w:rsid w:val="00EA0DDA"/>
    <w:rsid w:val="00F50BFB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E913A-C1F9-479B-8E3B-98255FAC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1618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9</cp:revision>
  <cp:lastPrinted>2023-01-25T08:52:00Z</cp:lastPrinted>
  <dcterms:created xsi:type="dcterms:W3CDTF">2022-11-04T06:29:00Z</dcterms:created>
  <dcterms:modified xsi:type="dcterms:W3CDTF">2023-01-25T08:56:00Z</dcterms:modified>
</cp:coreProperties>
</file>