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189" w:rsidRPr="00594D5B" w:rsidRDefault="00933189" w:rsidP="00933189">
      <w:pPr>
        <w:pStyle w:val="Default"/>
        <w:spacing w:before="120" w:line="276" w:lineRule="auto"/>
        <w:rPr>
          <w:sz w:val="22"/>
          <w:szCs w:val="22"/>
          <w:u w:val="single"/>
        </w:rPr>
      </w:pPr>
      <w:r w:rsidRPr="00594D5B">
        <w:rPr>
          <w:b/>
          <w:bCs/>
          <w:sz w:val="22"/>
          <w:szCs w:val="22"/>
          <w:u w:val="single"/>
        </w:rPr>
        <w:t xml:space="preserve">Příloha </w:t>
      </w:r>
    </w:p>
    <w:p w:rsidR="00933189" w:rsidRPr="00594D5B" w:rsidRDefault="00933189" w:rsidP="00933189">
      <w:pPr>
        <w:pStyle w:val="Default"/>
        <w:spacing w:before="120" w:line="276" w:lineRule="auto"/>
        <w:jc w:val="center"/>
        <w:rPr>
          <w:szCs w:val="22"/>
        </w:rPr>
      </w:pPr>
      <w:r w:rsidRPr="00594D5B">
        <w:rPr>
          <w:b/>
          <w:bCs/>
          <w:szCs w:val="22"/>
        </w:rPr>
        <w:t>Záměr na vyhlášení zvláště chráněného území</w:t>
      </w:r>
    </w:p>
    <w:p w:rsidR="004E57A3" w:rsidRPr="00594D5B" w:rsidRDefault="00933189" w:rsidP="00933189">
      <w:pPr>
        <w:spacing w:before="120" w:after="0" w:line="276" w:lineRule="auto"/>
        <w:jc w:val="center"/>
        <w:rPr>
          <w:rFonts w:ascii="Arial" w:hAnsi="Arial" w:cs="Arial"/>
          <w:b/>
          <w:bCs/>
          <w:sz w:val="24"/>
        </w:rPr>
      </w:pPr>
      <w:r w:rsidRPr="00594D5B">
        <w:rPr>
          <w:rFonts w:ascii="Arial" w:hAnsi="Arial" w:cs="Arial"/>
          <w:b/>
          <w:bCs/>
          <w:sz w:val="24"/>
        </w:rPr>
        <w:t xml:space="preserve">PŘÍRODNÍ </w:t>
      </w:r>
      <w:r w:rsidR="004E26A3">
        <w:rPr>
          <w:rFonts w:ascii="Arial" w:hAnsi="Arial" w:cs="Arial"/>
          <w:b/>
          <w:bCs/>
          <w:sz w:val="24"/>
        </w:rPr>
        <w:t>REZERVACE MRHATINA</w:t>
      </w:r>
    </w:p>
    <w:p w:rsidR="00933189" w:rsidRPr="00594D5B" w:rsidRDefault="00933189" w:rsidP="00933189">
      <w:pPr>
        <w:spacing w:after="0" w:line="276" w:lineRule="auto"/>
        <w:jc w:val="center"/>
        <w:rPr>
          <w:rFonts w:ascii="Arial" w:hAnsi="Arial" w:cs="Arial"/>
        </w:rPr>
      </w:pPr>
      <w:r w:rsidRPr="00594D5B">
        <w:rPr>
          <w:rFonts w:ascii="Arial" w:hAnsi="Arial" w:cs="Arial"/>
        </w:rPr>
        <w:t>(dle § 40 odst. 1 zákona č. 114/1992 Sb., o ochraně přírody a krajiny, dále též jen „zákon“)</w:t>
      </w:r>
    </w:p>
    <w:p w:rsidR="00933189" w:rsidRPr="00594D5B" w:rsidRDefault="00933189" w:rsidP="00933189">
      <w:pPr>
        <w:spacing w:before="120"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rPr>
      </w:pPr>
      <w:r w:rsidRPr="00594D5B">
        <w:rPr>
          <w:rFonts w:ascii="Arial" w:hAnsi="Arial" w:cs="Arial"/>
          <w:b/>
        </w:rPr>
        <w:t>Název zvláště chráněného území:</w:t>
      </w:r>
    </w:p>
    <w:p w:rsidR="00933189" w:rsidRPr="00594D5B" w:rsidRDefault="00DC3718" w:rsidP="00722870">
      <w:pPr>
        <w:spacing w:after="0" w:line="276" w:lineRule="auto"/>
        <w:rPr>
          <w:rFonts w:ascii="Arial" w:hAnsi="Arial" w:cs="Arial"/>
        </w:rPr>
      </w:pPr>
      <w:r>
        <w:rPr>
          <w:rFonts w:ascii="Arial" w:hAnsi="Arial" w:cs="Arial"/>
        </w:rPr>
        <w:t>Mrhatina</w:t>
      </w:r>
    </w:p>
    <w:p w:rsidR="00933189" w:rsidRPr="00594D5B" w:rsidRDefault="00933189" w:rsidP="00933189">
      <w:pPr>
        <w:spacing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bCs/>
        </w:rPr>
      </w:pPr>
      <w:r w:rsidRPr="00594D5B">
        <w:rPr>
          <w:rFonts w:ascii="Arial" w:hAnsi="Arial" w:cs="Arial"/>
          <w:b/>
          <w:bCs/>
        </w:rPr>
        <w:t>Předměty ochrany a jejich popis:</w:t>
      </w:r>
    </w:p>
    <w:p w:rsidR="004E023E" w:rsidRDefault="000E0738" w:rsidP="00F920B4">
      <w:pPr>
        <w:spacing w:before="120" w:after="0" w:line="276" w:lineRule="auto"/>
        <w:jc w:val="both"/>
        <w:rPr>
          <w:rFonts w:ascii="Arial" w:hAnsi="Arial" w:cs="Arial"/>
          <w:bCs/>
          <w:snapToGrid w:val="0"/>
          <w:szCs w:val="24"/>
        </w:rPr>
      </w:pPr>
      <w:r>
        <w:rPr>
          <w:rFonts w:ascii="Arial" w:hAnsi="Arial" w:cs="Arial"/>
          <w:bCs/>
          <w:snapToGrid w:val="0"/>
          <w:szCs w:val="24"/>
        </w:rPr>
        <w:t>Přirozená lesní vegetace acidofilních bučin s dominujícím bukem lesním (</w:t>
      </w:r>
      <w:r w:rsidRPr="000E0738">
        <w:rPr>
          <w:rFonts w:ascii="Arial" w:hAnsi="Arial" w:cs="Arial"/>
          <w:bCs/>
          <w:i/>
          <w:snapToGrid w:val="0"/>
          <w:szCs w:val="24"/>
        </w:rPr>
        <w:t>Fagus sylvaticus</w:t>
      </w:r>
      <w:r w:rsidR="00192E85">
        <w:rPr>
          <w:rFonts w:ascii="Arial" w:hAnsi="Arial" w:cs="Arial"/>
          <w:bCs/>
          <w:snapToGrid w:val="0"/>
          <w:szCs w:val="24"/>
        </w:rPr>
        <w:t>) místy s příměsí smrku a jedle bělokoré (</w:t>
      </w:r>
      <w:r w:rsidR="00192E85" w:rsidRPr="00192E85">
        <w:rPr>
          <w:rFonts w:ascii="Arial" w:hAnsi="Arial" w:cs="Arial"/>
          <w:bCs/>
          <w:i/>
          <w:snapToGrid w:val="0"/>
          <w:szCs w:val="24"/>
        </w:rPr>
        <w:t>Abies alba</w:t>
      </w:r>
      <w:r w:rsidR="00192E85">
        <w:rPr>
          <w:rFonts w:ascii="Arial" w:hAnsi="Arial" w:cs="Arial"/>
          <w:bCs/>
          <w:snapToGrid w:val="0"/>
          <w:szCs w:val="24"/>
        </w:rPr>
        <w:t>) a význačné geomorfologické jevy, zejména skalní výchozy, mrazové sruby</w:t>
      </w:r>
      <w:r w:rsidR="009416A4">
        <w:rPr>
          <w:rFonts w:ascii="Arial" w:hAnsi="Arial" w:cs="Arial"/>
          <w:bCs/>
          <w:snapToGrid w:val="0"/>
          <w:szCs w:val="24"/>
        </w:rPr>
        <w:t>, věže aj. v centrální části území.</w:t>
      </w:r>
      <w:r w:rsidR="00192E85">
        <w:rPr>
          <w:rFonts w:ascii="Arial" w:hAnsi="Arial" w:cs="Arial"/>
          <w:bCs/>
          <w:snapToGrid w:val="0"/>
          <w:szCs w:val="24"/>
        </w:rPr>
        <w:t xml:space="preserve"> </w:t>
      </w:r>
    </w:p>
    <w:p w:rsidR="009416A4" w:rsidRPr="00FC0394" w:rsidRDefault="00FC0394" w:rsidP="00FC0394">
      <w:pPr>
        <w:pStyle w:val="Odstavecseseznamem"/>
        <w:numPr>
          <w:ilvl w:val="0"/>
          <w:numId w:val="9"/>
        </w:numPr>
        <w:spacing w:before="120" w:after="0" w:line="276" w:lineRule="auto"/>
        <w:jc w:val="both"/>
        <w:rPr>
          <w:rFonts w:ascii="Arial" w:hAnsi="Arial" w:cs="Arial"/>
          <w:b/>
          <w:bCs/>
          <w:snapToGrid w:val="0"/>
          <w:szCs w:val="24"/>
        </w:rPr>
      </w:pPr>
      <w:r w:rsidRPr="00FC0394">
        <w:rPr>
          <w:rFonts w:ascii="Arial" w:hAnsi="Arial" w:cs="Arial"/>
          <w:b/>
          <w:bCs/>
          <w:snapToGrid w:val="0"/>
          <w:szCs w:val="24"/>
        </w:rPr>
        <w:t>Ekosystémy</w:t>
      </w:r>
    </w:p>
    <w:tbl>
      <w:tblPr>
        <w:tblStyle w:val="Mkatabulky"/>
        <w:tblW w:w="9237" w:type="dxa"/>
        <w:tblInd w:w="-46" w:type="dxa"/>
        <w:tblLayout w:type="fixed"/>
        <w:tblCellMar>
          <w:left w:w="0" w:type="dxa"/>
          <w:right w:w="0" w:type="dxa"/>
        </w:tblCellMar>
        <w:tblLook w:val="04A0" w:firstRow="1" w:lastRow="0" w:firstColumn="1" w:lastColumn="0" w:noHBand="0" w:noVBand="1"/>
      </w:tblPr>
      <w:tblGrid>
        <w:gridCol w:w="1866"/>
        <w:gridCol w:w="992"/>
        <w:gridCol w:w="6379"/>
      </w:tblGrid>
      <w:tr w:rsidR="00A50208" w:rsidRPr="009C383D" w:rsidTr="00A50208">
        <w:trPr>
          <w:trHeight w:val="786"/>
        </w:trPr>
        <w:tc>
          <w:tcPr>
            <w:tcW w:w="1866"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tcPr>
          <w:p w:rsidR="00A50208" w:rsidRPr="009C383D" w:rsidRDefault="00A50208" w:rsidP="009C383D">
            <w:pPr>
              <w:ind w:left="57" w:right="57"/>
              <w:jc w:val="center"/>
              <w:rPr>
                <w:rFonts w:ascii="Arial" w:hAnsi="Arial" w:cs="Arial"/>
                <w:b/>
              </w:rPr>
            </w:pPr>
            <w:bookmarkStart w:id="0" w:name="_Toc84100222"/>
            <w:r w:rsidRPr="009C383D">
              <w:rPr>
                <w:rFonts w:ascii="Arial" w:hAnsi="Arial" w:cs="Arial"/>
                <w:b/>
              </w:rPr>
              <w:t>Ekosystém</w:t>
            </w:r>
            <w:bookmarkEnd w:id="0"/>
          </w:p>
        </w:tc>
        <w:tc>
          <w:tcPr>
            <w:tcW w:w="992"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tcPr>
          <w:p w:rsidR="00A50208" w:rsidRPr="009C383D" w:rsidRDefault="00A50208" w:rsidP="009C383D">
            <w:pPr>
              <w:ind w:left="57" w:right="57"/>
              <w:jc w:val="center"/>
              <w:rPr>
                <w:rFonts w:ascii="Arial" w:hAnsi="Arial" w:cs="Arial"/>
                <w:b/>
              </w:rPr>
            </w:pPr>
            <w:r w:rsidRPr="009C383D">
              <w:rPr>
                <w:rFonts w:ascii="Arial" w:hAnsi="Arial" w:cs="Arial"/>
                <w:b/>
                <w:bCs/>
              </w:rPr>
              <w:t>Podíl plochy v ZCHÚ (%)</w:t>
            </w:r>
          </w:p>
        </w:tc>
        <w:tc>
          <w:tcPr>
            <w:tcW w:w="6379"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tcPr>
          <w:p w:rsidR="00A50208" w:rsidRPr="009C383D" w:rsidRDefault="00A50208" w:rsidP="009C383D">
            <w:pPr>
              <w:ind w:left="57" w:right="57"/>
              <w:jc w:val="center"/>
              <w:rPr>
                <w:rFonts w:ascii="Arial" w:hAnsi="Arial" w:cs="Arial"/>
                <w:b/>
              </w:rPr>
            </w:pPr>
            <w:r w:rsidRPr="009C383D">
              <w:rPr>
                <w:rFonts w:ascii="Arial" w:hAnsi="Arial" w:cs="Arial"/>
                <w:b/>
                <w:bCs/>
              </w:rPr>
              <w:t>Popis ekosystému</w:t>
            </w:r>
          </w:p>
        </w:tc>
      </w:tr>
      <w:tr w:rsidR="00A50208" w:rsidRPr="009C383D" w:rsidTr="00A50208">
        <w:trPr>
          <w:trHeight w:val="1134"/>
        </w:trPr>
        <w:tc>
          <w:tcPr>
            <w:tcW w:w="1866" w:type="dxa"/>
            <w:tcBorders>
              <w:top w:val="single" w:sz="18" w:space="0" w:color="auto"/>
              <w:left w:val="single" w:sz="18" w:space="0" w:color="auto"/>
              <w:bottom w:val="single" w:sz="4" w:space="0" w:color="auto"/>
            </w:tcBorders>
            <w:vAlign w:val="center"/>
          </w:tcPr>
          <w:p w:rsidR="00A50208" w:rsidRPr="009C383D" w:rsidRDefault="00A50208" w:rsidP="009C383D">
            <w:pPr>
              <w:ind w:left="57" w:right="57"/>
              <w:jc w:val="center"/>
              <w:rPr>
                <w:rFonts w:ascii="Arial" w:hAnsi="Arial" w:cs="Arial"/>
                <w:spacing w:val="-2"/>
              </w:rPr>
            </w:pPr>
            <w:r w:rsidRPr="009C383D">
              <w:rPr>
                <w:rFonts w:ascii="Arial" w:hAnsi="Arial" w:cs="Arial"/>
                <w:bCs/>
              </w:rPr>
              <w:t>Acidofilní bučiny (L5.4)</w:t>
            </w:r>
          </w:p>
        </w:tc>
        <w:tc>
          <w:tcPr>
            <w:tcW w:w="992" w:type="dxa"/>
            <w:tcBorders>
              <w:top w:val="single" w:sz="18" w:space="0" w:color="auto"/>
              <w:bottom w:val="single" w:sz="4" w:space="0" w:color="auto"/>
            </w:tcBorders>
            <w:vAlign w:val="center"/>
          </w:tcPr>
          <w:p w:rsidR="00A50208" w:rsidRPr="009C383D" w:rsidRDefault="009416A4" w:rsidP="009C383D">
            <w:pPr>
              <w:ind w:left="57" w:right="57"/>
              <w:jc w:val="center"/>
              <w:rPr>
                <w:rFonts w:ascii="Arial" w:hAnsi="Arial" w:cs="Arial"/>
              </w:rPr>
            </w:pPr>
            <w:r>
              <w:rPr>
                <w:rFonts w:ascii="Arial" w:hAnsi="Arial" w:cs="Arial"/>
              </w:rPr>
              <w:t>93</w:t>
            </w:r>
          </w:p>
        </w:tc>
        <w:tc>
          <w:tcPr>
            <w:tcW w:w="6379" w:type="dxa"/>
            <w:tcBorders>
              <w:top w:val="single" w:sz="18" w:space="0" w:color="auto"/>
              <w:bottom w:val="single" w:sz="4" w:space="0" w:color="auto"/>
              <w:right w:val="single" w:sz="18" w:space="0" w:color="auto"/>
            </w:tcBorders>
          </w:tcPr>
          <w:p w:rsidR="009416A4" w:rsidRPr="009416A4" w:rsidRDefault="009416A4" w:rsidP="009416A4">
            <w:pPr>
              <w:ind w:left="57" w:right="57"/>
              <w:jc w:val="both"/>
              <w:rPr>
                <w:rFonts w:ascii="Arial" w:hAnsi="Arial" w:cs="Arial"/>
              </w:rPr>
            </w:pPr>
            <w:r w:rsidRPr="009416A4">
              <w:rPr>
                <w:rFonts w:ascii="Arial" w:hAnsi="Arial" w:cs="Arial"/>
              </w:rPr>
              <w:t>Vertikálně a horizontálně strukturované fragmenty původních lesních porostů acidofilních bučin tvořených bukem a smrkem vtroušeně s přítomností dalších lesních dřevin (</w:t>
            </w:r>
            <w:r w:rsidRPr="009416A4">
              <w:rPr>
                <w:rFonts w:ascii="Arial" w:hAnsi="Arial" w:cs="Arial"/>
                <w:i/>
              </w:rPr>
              <w:t>Betula pendula, Sorbus aucuparia, Pinus sylvestris, Abies alba</w:t>
            </w:r>
            <w:r w:rsidRPr="009416A4">
              <w:rPr>
                <w:rFonts w:ascii="Arial" w:hAnsi="Arial" w:cs="Arial"/>
              </w:rPr>
              <w:t xml:space="preserve"> aj.), bylinné patro vyvinuté spíše sporadicky s významným zastoupením zmlazení lesních dřevin, z typických druhů místy výskyt </w:t>
            </w:r>
            <w:r w:rsidRPr="00FC0394">
              <w:rPr>
                <w:rFonts w:ascii="Arial" w:hAnsi="Arial" w:cs="Arial"/>
                <w:i/>
              </w:rPr>
              <w:t>Vaccinium myrtillus, Carex pipulifera, Dryopteris dilatata</w:t>
            </w:r>
            <w:r w:rsidRPr="009416A4">
              <w:rPr>
                <w:rFonts w:ascii="Arial" w:hAnsi="Arial" w:cs="Arial"/>
              </w:rPr>
              <w:t xml:space="preserve"> aj.</w:t>
            </w:r>
          </w:p>
          <w:p w:rsidR="00A50208" w:rsidRPr="009C383D" w:rsidRDefault="009416A4" w:rsidP="009416A4">
            <w:pPr>
              <w:ind w:left="57" w:right="57"/>
              <w:jc w:val="both"/>
              <w:rPr>
                <w:rFonts w:ascii="Arial" w:hAnsi="Arial" w:cs="Arial"/>
              </w:rPr>
            </w:pPr>
            <w:r w:rsidRPr="009416A4">
              <w:rPr>
                <w:rFonts w:ascii="Arial" w:hAnsi="Arial" w:cs="Arial"/>
              </w:rPr>
              <w:t>Ve starých bučinách byl zjištěn hnízdní výskyt dutinohnízdičů: datel černý (</w:t>
            </w:r>
            <w:r w:rsidRPr="00FC0394">
              <w:rPr>
                <w:rFonts w:ascii="Arial" w:hAnsi="Arial" w:cs="Arial"/>
                <w:i/>
              </w:rPr>
              <w:t>Dryocopus martius</w:t>
            </w:r>
            <w:r w:rsidRPr="009416A4">
              <w:rPr>
                <w:rFonts w:ascii="Arial" w:hAnsi="Arial" w:cs="Arial"/>
              </w:rPr>
              <w:t>), žluna šedá (</w:t>
            </w:r>
            <w:r w:rsidRPr="00FC0394">
              <w:rPr>
                <w:rFonts w:ascii="Arial" w:hAnsi="Arial" w:cs="Arial"/>
                <w:i/>
              </w:rPr>
              <w:t>Picus canus</w:t>
            </w:r>
            <w:r w:rsidRPr="009416A4">
              <w:rPr>
                <w:rFonts w:ascii="Arial" w:hAnsi="Arial" w:cs="Arial"/>
              </w:rPr>
              <w:t>), strakapoud velký (</w:t>
            </w:r>
            <w:r w:rsidRPr="00FC0394">
              <w:rPr>
                <w:rFonts w:ascii="Arial" w:hAnsi="Arial" w:cs="Arial"/>
                <w:i/>
              </w:rPr>
              <w:t>Dendrocopos major</w:t>
            </w:r>
            <w:r w:rsidRPr="009416A4">
              <w:rPr>
                <w:rFonts w:ascii="Arial" w:hAnsi="Arial" w:cs="Arial"/>
              </w:rPr>
              <w:t>), puštík obecný (</w:t>
            </w:r>
            <w:r w:rsidRPr="00FC0394">
              <w:rPr>
                <w:rFonts w:ascii="Arial" w:hAnsi="Arial" w:cs="Arial"/>
                <w:i/>
              </w:rPr>
              <w:t>Strix aluco</w:t>
            </w:r>
            <w:r w:rsidRPr="009416A4">
              <w:rPr>
                <w:rFonts w:ascii="Arial" w:hAnsi="Arial" w:cs="Arial"/>
              </w:rPr>
              <w:t>), kulíšek nejmenší (</w:t>
            </w:r>
            <w:r w:rsidRPr="00FC0394">
              <w:rPr>
                <w:rFonts w:ascii="Arial" w:hAnsi="Arial" w:cs="Arial"/>
                <w:i/>
              </w:rPr>
              <w:t>Glaucidium passerinum</w:t>
            </w:r>
            <w:r w:rsidRPr="009416A4">
              <w:rPr>
                <w:rFonts w:ascii="Arial" w:hAnsi="Arial" w:cs="Arial"/>
              </w:rPr>
              <w:t>), holub doupňák (</w:t>
            </w:r>
            <w:r w:rsidRPr="00FC0394">
              <w:rPr>
                <w:rFonts w:ascii="Arial" w:hAnsi="Arial" w:cs="Arial"/>
                <w:i/>
              </w:rPr>
              <w:t>Columba oenas</w:t>
            </w:r>
            <w:r w:rsidRPr="009416A4">
              <w:rPr>
                <w:rFonts w:ascii="Arial" w:hAnsi="Arial" w:cs="Arial"/>
              </w:rPr>
              <w:t>), případně polodutinové druhy jako je lejsek šedý (</w:t>
            </w:r>
            <w:r w:rsidRPr="00FC0394">
              <w:rPr>
                <w:rFonts w:ascii="Arial" w:hAnsi="Arial" w:cs="Arial"/>
                <w:i/>
              </w:rPr>
              <w:t>Muscicapa striata</w:t>
            </w:r>
            <w:r w:rsidRPr="009416A4">
              <w:rPr>
                <w:rFonts w:ascii="Arial" w:hAnsi="Arial" w:cs="Arial"/>
              </w:rPr>
              <w:t>) a šoupálek dlouhoprstý (</w:t>
            </w:r>
            <w:r w:rsidRPr="00FC0394">
              <w:rPr>
                <w:rFonts w:ascii="Arial" w:hAnsi="Arial" w:cs="Arial"/>
                <w:i/>
              </w:rPr>
              <w:t>Certhia familiaris</w:t>
            </w:r>
            <w:r w:rsidRPr="009416A4">
              <w:rPr>
                <w:rFonts w:ascii="Arial" w:hAnsi="Arial" w:cs="Arial"/>
              </w:rPr>
              <w:t>).</w:t>
            </w:r>
          </w:p>
        </w:tc>
      </w:tr>
      <w:tr w:rsidR="00A50208" w:rsidRPr="009C383D" w:rsidTr="00A50208">
        <w:trPr>
          <w:trHeight w:val="1418"/>
        </w:trPr>
        <w:tc>
          <w:tcPr>
            <w:tcW w:w="1866" w:type="dxa"/>
            <w:tcBorders>
              <w:left w:val="single" w:sz="18" w:space="0" w:color="auto"/>
              <w:bottom w:val="single" w:sz="18" w:space="0" w:color="auto"/>
            </w:tcBorders>
            <w:vAlign w:val="center"/>
          </w:tcPr>
          <w:p w:rsidR="00A50208" w:rsidRPr="009C383D" w:rsidRDefault="00A50208" w:rsidP="009C383D">
            <w:pPr>
              <w:ind w:left="57" w:right="57"/>
              <w:jc w:val="center"/>
              <w:rPr>
                <w:rFonts w:ascii="Arial" w:hAnsi="Arial" w:cs="Arial"/>
                <w:bCs/>
              </w:rPr>
            </w:pPr>
            <w:r w:rsidRPr="009C383D">
              <w:rPr>
                <w:rFonts w:ascii="Arial" w:hAnsi="Arial" w:cs="Arial"/>
                <w:bCs/>
              </w:rPr>
              <w:t>Biota vázaná na mrtvou a odumírající dřevní hmotu v lesních porostech</w:t>
            </w:r>
          </w:p>
        </w:tc>
        <w:tc>
          <w:tcPr>
            <w:tcW w:w="992" w:type="dxa"/>
            <w:tcBorders>
              <w:bottom w:val="single" w:sz="18" w:space="0" w:color="auto"/>
            </w:tcBorders>
            <w:vAlign w:val="center"/>
          </w:tcPr>
          <w:p w:rsidR="00A50208" w:rsidRPr="009C383D" w:rsidRDefault="00FC0394" w:rsidP="009C383D">
            <w:pPr>
              <w:ind w:left="57" w:right="57"/>
              <w:jc w:val="center"/>
              <w:rPr>
                <w:rFonts w:ascii="Arial" w:hAnsi="Arial" w:cs="Arial"/>
              </w:rPr>
            </w:pPr>
            <w:r>
              <w:rPr>
                <w:rFonts w:ascii="Arial" w:hAnsi="Arial" w:cs="Arial"/>
              </w:rPr>
              <w:t>2</w:t>
            </w:r>
          </w:p>
        </w:tc>
        <w:tc>
          <w:tcPr>
            <w:tcW w:w="6379" w:type="dxa"/>
            <w:tcBorders>
              <w:bottom w:val="single" w:sz="18" w:space="0" w:color="auto"/>
              <w:right w:val="single" w:sz="18" w:space="0" w:color="auto"/>
            </w:tcBorders>
          </w:tcPr>
          <w:p w:rsidR="00FC0394" w:rsidRPr="00FC0394" w:rsidRDefault="00FC0394" w:rsidP="00FC0394">
            <w:pPr>
              <w:ind w:left="57" w:right="57"/>
              <w:jc w:val="both"/>
              <w:rPr>
                <w:rFonts w:ascii="Arial" w:hAnsi="Arial" w:cs="Arial"/>
                <w:bCs/>
              </w:rPr>
            </w:pPr>
            <w:r w:rsidRPr="00FC0394">
              <w:rPr>
                <w:rFonts w:ascii="Arial" w:hAnsi="Arial" w:cs="Arial"/>
                <w:bCs/>
              </w:rPr>
              <w:t>Pestrá skupina druhů (bezobratlí, mykobiota) vázaných na biotop mrtvého a odumírajícího dřeva. v lesních porostech, především na stojících a ležících souších, torzech, postupně odumírajících jedincích buků, smrků, případně jedlí.</w:t>
            </w:r>
          </w:p>
          <w:p w:rsidR="00FC0394" w:rsidRPr="00FC0394" w:rsidRDefault="00FC0394" w:rsidP="00FC0394">
            <w:pPr>
              <w:ind w:left="57" w:right="57"/>
              <w:jc w:val="both"/>
              <w:rPr>
                <w:rFonts w:ascii="Arial" w:hAnsi="Arial" w:cs="Arial"/>
                <w:bCs/>
              </w:rPr>
            </w:pPr>
            <w:r w:rsidRPr="00FC0394">
              <w:rPr>
                <w:rFonts w:ascii="Arial" w:hAnsi="Arial" w:cs="Arial"/>
                <w:bCs/>
              </w:rPr>
              <w:t>Z hlediska bezobratlých je významná zejména saproxylická fauna vázaná na odumírající dřevo. Zjištěno bylo několik regionálně významných druhů zachovalých bučin, zejména druhy vázané na buk nebo dřevokazné houby.</w:t>
            </w:r>
          </w:p>
          <w:p w:rsidR="00A50208" w:rsidRPr="009C383D" w:rsidRDefault="00FC0394" w:rsidP="00FC0394">
            <w:pPr>
              <w:ind w:left="57" w:right="57"/>
              <w:jc w:val="both"/>
              <w:rPr>
                <w:rFonts w:ascii="Arial" w:hAnsi="Arial" w:cs="Arial"/>
              </w:rPr>
            </w:pPr>
            <w:r w:rsidRPr="00FC0394">
              <w:rPr>
                <w:rFonts w:ascii="Arial" w:hAnsi="Arial" w:cs="Arial"/>
                <w:bCs/>
              </w:rPr>
              <w:t xml:space="preserve">Na lokalitě se vyskytuje tesařík </w:t>
            </w:r>
            <w:r w:rsidRPr="00FC0394">
              <w:rPr>
                <w:rFonts w:ascii="Arial" w:hAnsi="Arial" w:cs="Arial"/>
                <w:bCs/>
                <w:i/>
              </w:rPr>
              <w:t>Stictoleptura scutellata</w:t>
            </w:r>
            <w:r w:rsidRPr="00FC0394">
              <w:rPr>
                <w:rFonts w:ascii="Arial" w:hAnsi="Arial" w:cs="Arial"/>
                <w:bCs/>
              </w:rPr>
              <w:t>, lesák rumělkový (</w:t>
            </w:r>
            <w:r w:rsidRPr="00FC0394">
              <w:rPr>
                <w:rFonts w:ascii="Arial" w:hAnsi="Arial" w:cs="Arial"/>
                <w:bCs/>
                <w:i/>
              </w:rPr>
              <w:t>Cucujus cannaberinus</w:t>
            </w:r>
            <w:r w:rsidRPr="00FC0394">
              <w:rPr>
                <w:rFonts w:ascii="Arial" w:hAnsi="Arial" w:cs="Arial"/>
                <w:bCs/>
              </w:rPr>
              <w:t>),</w:t>
            </w:r>
            <w:r>
              <w:rPr>
                <w:rFonts w:ascii="Arial" w:hAnsi="Arial" w:cs="Arial"/>
                <w:bCs/>
              </w:rPr>
              <w:t xml:space="preserve"> </w:t>
            </w:r>
            <w:r w:rsidRPr="00FC0394">
              <w:rPr>
                <w:rFonts w:ascii="Arial" w:hAnsi="Arial" w:cs="Arial"/>
                <w:bCs/>
              </w:rPr>
              <w:t>potemník (</w:t>
            </w:r>
            <w:r w:rsidRPr="00FC0394">
              <w:rPr>
                <w:rFonts w:ascii="Arial" w:hAnsi="Arial" w:cs="Arial"/>
                <w:bCs/>
                <w:i/>
              </w:rPr>
              <w:t>Allecula morio</w:t>
            </w:r>
            <w:r w:rsidRPr="00FC0394">
              <w:rPr>
                <w:rFonts w:ascii="Arial" w:hAnsi="Arial" w:cs="Arial"/>
                <w:bCs/>
              </w:rPr>
              <w:t>), pýchavkovník (</w:t>
            </w:r>
            <w:r w:rsidRPr="00FC0394">
              <w:rPr>
                <w:rFonts w:ascii="Arial" w:hAnsi="Arial" w:cs="Arial"/>
                <w:bCs/>
                <w:i/>
              </w:rPr>
              <w:t>Endomychus coccineus</w:t>
            </w:r>
            <w:r w:rsidRPr="00FC0394">
              <w:rPr>
                <w:rFonts w:ascii="Arial" w:hAnsi="Arial" w:cs="Arial"/>
                <w:bCs/>
              </w:rPr>
              <w:t xml:space="preserve">), </w:t>
            </w:r>
            <w:r w:rsidRPr="00FC0394">
              <w:rPr>
                <w:rFonts w:ascii="Arial" w:hAnsi="Arial" w:cs="Arial"/>
                <w:bCs/>
                <w:i/>
              </w:rPr>
              <w:t>Mycetophagus fulvicollis</w:t>
            </w:r>
            <w:r w:rsidRPr="00FC0394">
              <w:rPr>
                <w:rFonts w:ascii="Arial" w:hAnsi="Arial" w:cs="Arial"/>
                <w:bCs/>
              </w:rPr>
              <w:t xml:space="preserve">, </w:t>
            </w:r>
            <w:r w:rsidRPr="00FC0394">
              <w:rPr>
                <w:rFonts w:ascii="Arial" w:hAnsi="Arial" w:cs="Arial"/>
                <w:bCs/>
                <w:i/>
              </w:rPr>
              <w:t>Mycetophagus piceus</w:t>
            </w:r>
          </w:p>
        </w:tc>
      </w:tr>
    </w:tbl>
    <w:p w:rsidR="00594D5B" w:rsidRPr="00594D5B" w:rsidRDefault="00594D5B" w:rsidP="00594D5B">
      <w:pPr>
        <w:autoSpaceDE w:val="0"/>
        <w:autoSpaceDN w:val="0"/>
        <w:spacing w:after="0" w:line="240" w:lineRule="auto"/>
        <w:jc w:val="both"/>
        <w:rPr>
          <w:rFonts w:ascii="Arial" w:eastAsia="Times New Roman" w:hAnsi="Arial" w:cs="Arial"/>
          <w:snapToGrid w:val="0"/>
          <w:sz w:val="20"/>
          <w:szCs w:val="20"/>
          <w:lang w:eastAsia="cs-CZ"/>
        </w:rPr>
      </w:pPr>
    </w:p>
    <w:p w:rsidR="008E325B" w:rsidRPr="00427D0D" w:rsidRDefault="00FC0394" w:rsidP="00FC0394">
      <w:pPr>
        <w:pStyle w:val="Odstavecseseznamem"/>
        <w:numPr>
          <w:ilvl w:val="0"/>
          <w:numId w:val="9"/>
        </w:numPr>
        <w:spacing w:after="0" w:line="276" w:lineRule="auto"/>
        <w:jc w:val="both"/>
        <w:rPr>
          <w:rFonts w:ascii="Arial" w:hAnsi="Arial" w:cs="Arial"/>
          <w:b/>
          <w:iCs/>
        </w:rPr>
      </w:pPr>
      <w:r w:rsidRPr="00427D0D">
        <w:rPr>
          <w:rFonts w:ascii="Arial" w:hAnsi="Arial" w:cs="Arial"/>
          <w:b/>
          <w:iCs/>
        </w:rPr>
        <w:t>Útvary neživé přírody</w:t>
      </w:r>
    </w:p>
    <w:tbl>
      <w:tblPr>
        <w:tblStyle w:val="Mkatabulky"/>
        <w:tblW w:w="9237" w:type="dxa"/>
        <w:tblInd w:w="-46" w:type="dxa"/>
        <w:tblLayout w:type="fixed"/>
        <w:tblCellMar>
          <w:left w:w="0" w:type="dxa"/>
          <w:right w:w="0" w:type="dxa"/>
        </w:tblCellMar>
        <w:tblLook w:val="04A0" w:firstRow="1" w:lastRow="0" w:firstColumn="1" w:lastColumn="0" w:noHBand="0" w:noVBand="1"/>
      </w:tblPr>
      <w:tblGrid>
        <w:gridCol w:w="2717"/>
        <w:gridCol w:w="2976"/>
        <w:gridCol w:w="3544"/>
      </w:tblGrid>
      <w:tr w:rsidR="00427D0D" w:rsidRPr="009C383D" w:rsidTr="00A21152">
        <w:trPr>
          <w:trHeight w:val="545"/>
        </w:trPr>
        <w:tc>
          <w:tcPr>
            <w:tcW w:w="2717"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rsidR="00427D0D" w:rsidRPr="009C383D" w:rsidRDefault="00427D0D" w:rsidP="00A21152">
            <w:pPr>
              <w:ind w:left="57" w:right="57"/>
              <w:jc w:val="center"/>
              <w:rPr>
                <w:rFonts w:ascii="Arial" w:hAnsi="Arial" w:cs="Arial"/>
                <w:b/>
              </w:rPr>
            </w:pPr>
            <w:r>
              <w:rPr>
                <w:rFonts w:ascii="Arial" w:hAnsi="Arial" w:cs="Arial"/>
                <w:b/>
              </w:rPr>
              <w:t>Útvar</w:t>
            </w:r>
          </w:p>
        </w:tc>
        <w:tc>
          <w:tcPr>
            <w:tcW w:w="2976"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rsidR="00427D0D" w:rsidRPr="009C383D" w:rsidRDefault="00427D0D" w:rsidP="00A21152">
            <w:pPr>
              <w:ind w:left="57" w:right="57"/>
              <w:jc w:val="center"/>
              <w:rPr>
                <w:rFonts w:ascii="Arial" w:hAnsi="Arial" w:cs="Arial"/>
                <w:b/>
              </w:rPr>
            </w:pPr>
            <w:r>
              <w:rPr>
                <w:rFonts w:ascii="Arial" w:hAnsi="Arial" w:cs="Arial"/>
                <w:b/>
                <w:bCs/>
              </w:rPr>
              <w:t>Geologická charakteristika</w:t>
            </w:r>
          </w:p>
        </w:tc>
        <w:tc>
          <w:tcPr>
            <w:tcW w:w="3544"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rsidR="00427D0D" w:rsidRPr="009C383D" w:rsidRDefault="00427D0D" w:rsidP="00A21152">
            <w:pPr>
              <w:ind w:left="57" w:right="57"/>
              <w:jc w:val="center"/>
              <w:rPr>
                <w:rFonts w:ascii="Arial" w:hAnsi="Arial" w:cs="Arial"/>
                <w:b/>
              </w:rPr>
            </w:pPr>
            <w:r w:rsidRPr="009C383D">
              <w:rPr>
                <w:rFonts w:ascii="Arial" w:hAnsi="Arial" w:cs="Arial"/>
                <w:b/>
                <w:bCs/>
              </w:rPr>
              <w:t xml:space="preserve">Popis </w:t>
            </w:r>
            <w:r>
              <w:rPr>
                <w:rFonts w:ascii="Arial" w:hAnsi="Arial" w:cs="Arial"/>
                <w:b/>
                <w:bCs/>
              </w:rPr>
              <w:t>útvaru</w:t>
            </w:r>
          </w:p>
        </w:tc>
      </w:tr>
      <w:tr w:rsidR="00427D0D" w:rsidRPr="009C383D" w:rsidTr="00A21152">
        <w:trPr>
          <w:trHeight w:val="936"/>
        </w:trPr>
        <w:tc>
          <w:tcPr>
            <w:tcW w:w="2717" w:type="dxa"/>
            <w:tcBorders>
              <w:top w:val="single" w:sz="18" w:space="0" w:color="auto"/>
              <w:left w:val="single" w:sz="18" w:space="0" w:color="auto"/>
              <w:bottom w:val="single" w:sz="18" w:space="0" w:color="auto"/>
            </w:tcBorders>
            <w:vAlign w:val="center"/>
          </w:tcPr>
          <w:p w:rsidR="00427D0D" w:rsidRPr="009C383D" w:rsidRDefault="00332399" w:rsidP="00F01203">
            <w:pPr>
              <w:ind w:left="57" w:right="57"/>
              <w:jc w:val="center"/>
              <w:rPr>
                <w:rFonts w:ascii="Arial" w:hAnsi="Arial" w:cs="Arial"/>
                <w:spacing w:val="-2"/>
              </w:rPr>
            </w:pPr>
            <w:r>
              <w:rPr>
                <w:rFonts w:ascii="Arial" w:hAnsi="Arial" w:cs="Arial"/>
                <w:bCs/>
              </w:rPr>
              <w:t>Oboustranné m</w:t>
            </w:r>
            <w:r w:rsidR="00427D0D">
              <w:rPr>
                <w:rFonts w:ascii="Arial" w:hAnsi="Arial" w:cs="Arial"/>
                <w:bCs/>
              </w:rPr>
              <w:t>razové sruby</w:t>
            </w:r>
            <w:r>
              <w:rPr>
                <w:rFonts w:ascii="Arial" w:hAnsi="Arial" w:cs="Arial"/>
                <w:bCs/>
              </w:rPr>
              <w:t xml:space="preserve"> typu skalních věží</w:t>
            </w:r>
            <w:r w:rsidR="00427D0D">
              <w:rPr>
                <w:rFonts w:ascii="Arial" w:hAnsi="Arial" w:cs="Arial"/>
                <w:bCs/>
              </w:rPr>
              <w:t>, kryoplanační terasy a skalní převisy místy ve tvaru skalních pokliček a hřibů</w:t>
            </w:r>
          </w:p>
        </w:tc>
        <w:tc>
          <w:tcPr>
            <w:tcW w:w="2976" w:type="dxa"/>
            <w:tcBorders>
              <w:top w:val="single" w:sz="18" w:space="0" w:color="auto"/>
              <w:bottom w:val="single" w:sz="18" w:space="0" w:color="auto"/>
            </w:tcBorders>
            <w:vAlign w:val="center"/>
          </w:tcPr>
          <w:p w:rsidR="00427D0D" w:rsidRPr="009C383D" w:rsidRDefault="00427D0D" w:rsidP="00F01203">
            <w:pPr>
              <w:ind w:left="57" w:right="57"/>
              <w:jc w:val="both"/>
              <w:rPr>
                <w:rFonts w:ascii="Arial" w:hAnsi="Arial" w:cs="Arial"/>
              </w:rPr>
            </w:pPr>
            <w:r>
              <w:rPr>
                <w:rFonts w:ascii="Arial" w:hAnsi="Arial" w:cs="Arial"/>
              </w:rPr>
              <w:t>Muskoviticko-biotitická žula, charakteristická lavicovitou odlučností</w:t>
            </w:r>
          </w:p>
        </w:tc>
        <w:tc>
          <w:tcPr>
            <w:tcW w:w="3544" w:type="dxa"/>
            <w:tcBorders>
              <w:top w:val="single" w:sz="18" w:space="0" w:color="auto"/>
              <w:bottom w:val="single" w:sz="18" w:space="0" w:color="auto"/>
              <w:right w:val="single" w:sz="18" w:space="0" w:color="auto"/>
            </w:tcBorders>
            <w:vAlign w:val="center"/>
          </w:tcPr>
          <w:p w:rsidR="00427D0D" w:rsidRPr="00427D0D" w:rsidRDefault="00332399" w:rsidP="00F01203">
            <w:pPr>
              <w:pStyle w:val="Default"/>
              <w:jc w:val="both"/>
              <w:rPr>
                <w:sz w:val="20"/>
                <w:szCs w:val="20"/>
              </w:rPr>
            </w:pPr>
            <w:r w:rsidRPr="00332399">
              <w:rPr>
                <w:sz w:val="20"/>
                <w:szCs w:val="20"/>
              </w:rPr>
              <w:t xml:space="preserve">Na vrcholové plošině se vyskytují oboustranné mrazové sruby typu skalních věží, mezi mrazovými sruby jsou úzké kryoplanační terasy, sporadicky pokryté jednotlivými balvany. Autochtonní nebo souvislá </w:t>
            </w:r>
            <w:r w:rsidRPr="00332399">
              <w:rPr>
                <w:sz w:val="20"/>
                <w:szCs w:val="20"/>
              </w:rPr>
              <w:lastRenderedPageBreak/>
              <w:t>alochtonní kamenná moře s většími balvany nejsou vyvinuta. Nejzachovalejší a nejmohutnější mrazový srub směru JZ-SV je zbytkem skalní hradby dlouhé 110 m. Nejrozšířenější formou mikroreliéfu jsou převisy, místy ve tvaru skalních pokliček a hřibů. Výklenky jsou vyvinuty na puklinových systémech typu L. K méně častým jevům patří výskyt voštin a kamenných mis. Na JV svahu PR Mrhatina jsou patrné projevy soliflukce</w:t>
            </w:r>
          </w:p>
        </w:tc>
      </w:tr>
    </w:tbl>
    <w:p w:rsidR="00FC0394" w:rsidRDefault="00FC0394" w:rsidP="00FC0394">
      <w:pPr>
        <w:spacing w:after="0" w:line="276" w:lineRule="auto"/>
        <w:jc w:val="both"/>
        <w:rPr>
          <w:rFonts w:ascii="Arial" w:hAnsi="Arial" w:cs="Arial"/>
          <w:iCs/>
        </w:rPr>
      </w:pPr>
    </w:p>
    <w:p w:rsidR="008E325B" w:rsidRPr="00594D5B" w:rsidRDefault="008E325B" w:rsidP="00933189">
      <w:pPr>
        <w:spacing w:after="0" w:line="276" w:lineRule="auto"/>
        <w:jc w:val="both"/>
        <w:rPr>
          <w:rFonts w:ascii="Arial" w:hAnsi="Arial" w:cs="Arial"/>
          <w:b/>
          <w:bCs/>
          <w:iCs/>
        </w:rPr>
      </w:pPr>
      <w:r w:rsidRPr="00594D5B">
        <w:rPr>
          <w:rFonts w:ascii="Arial" w:hAnsi="Arial" w:cs="Arial"/>
          <w:b/>
          <w:bCs/>
          <w:iCs/>
        </w:rPr>
        <w:t>Cíl ochrany zvláště chráněného území:</w:t>
      </w:r>
    </w:p>
    <w:p w:rsidR="00310152" w:rsidRDefault="009C383D" w:rsidP="00384CCB">
      <w:pPr>
        <w:spacing w:before="120" w:after="0" w:line="276" w:lineRule="auto"/>
        <w:jc w:val="both"/>
        <w:rPr>
          <w:rFonts w:ascii="Arial" w:hAnsi="Arial" w:cs="Arial"/>
          <w:bCs/>
          <w:iCs/>
        </w:rPr>
      </w:pPr>
      <w:r w:rsidRPr="009C383D">
        <w:rPr>
          <w:rFonts w:ascii="Arial" w:hAnsi="Arial" w:cs="Arial"/>
          <w:bCs/>
          <w:iCs/>
        </w:rPr>
        <w:t>Horizontálně a vertikálně strukturované smíšené lesní porosty s bukem, smrkem a jedlí a příměsí dalších lesních dř</w:t>
      </w:r>
      <w:r>
        <w:rPr>
          <w:rFonts w:ascii="Arial" w:hAnsi="Arial" w:cs="Arial"/>
          <w:bCs/>
          <w:iCs/>
        </w:rPr>
        <w:t>evin (javor klen</w:t>
      </w:r>
      <w:r w:rsidR="009B0D2F">
        <w:rPr>
          <w:rFonts w:ascii="Arial" w:hAnsi="Arial" w:cs="Arial"/>
          <w:bCs/>
          <w:iCs/>
        </w:rPr>
        <w:t>,</w:t>
      </w:r>
      <w:r w:rsidR="009B0D2F" w:rsidRPr="009B0D2F">
        <w:rPr>
          <w:rFonts w:ascii="Arial" w:hAnsi="Arial" w:cs="Arial"/>
          <w:bCs/>
          <w:iCs/>
        </w:rPr>
        <w:t xml:space="preserve"> </w:t>
      </w:r>
      <w:r w:rsidR="009B0D2F">
        <w:rPr>
          <w:rFonts w:ascii="Arial" w:hAnsi="Arial" w:cs="Arial"/>
          <w:bCs/>
          <w:iCs/>
        </w:rPr>
        <w:t>bříza, jeřáb</w:t>
      </w:r>
      <w:r>
        <w:rPr>
          <w:rFonts w:ascii="Arial" w:hAnsi="Arial" w:cs="Arial"/>
          <w:bCs/>
          <w:iCs/>
        </w:rPr>
        <w:t>) s bohatým společenstvem</w:t>
      </w:r>
      <w:r w:rsidRPr="009C383D">
        <w:rPr>
          <w:rFonts w:ascii="Arial" w:hAnsi="Arial" w:cs="Arial"/>
          <w:bCs/>
          <w:iCs/>
        </w:rPr>
        <w:t xml:space="preserve"> druhů vázaných na mrtvou a odumírající dřevní hmotu různých dimenzí s početnými populacemi těchto druhů.</w:t>
      </w:r>
    </w:p>
    <w:p w:rsidR="00B34BA2" w:rsidRDefault="00B34BA2" w:rsidP="00933189">
      <w:pPr>
        <w:spacing w:after="0" w:line="276" w:lineRule="auto"/>
        <w:jc w:val="both"/>
        <w:rPr>
          <w:rFonts w:ascii="Arial" w:hAnsi="Arial" w:cs="Arial"/>
          <w:bCs/>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kategorie ochrany zvláště chráněného území: </w:t>
      </w:r>
    </w:p>
    <w:p w:rsidR="00D524AD" w:rsidRPr="00594D5B" w:rsidRDefault="00D524AD" w:rsidP="00384CCB">
      <w:pPr>
        <w:spacing w:before="120" w:after="0" w:line="276" w:lineRule="auto"/>
        <w:jc w:val="both"/>
        <w:rPr>
          <w:rFonts w:ascii="Arial" w:hAnsi="Arial" w:cs="Arial"/>
          <w:iCs/>
        </w:rPr>
      </w:pPr>
      <w:r w:rsidRPr="00594D5B">
        <w:rPr>
          <w:rFonts w:ascii="Arial" w:hAnsi="Arial" w:cs="Arial"/>
          <w:iCs/>
        </w:rPr>
        <w:t xml:space="preserve">Přírodní </w:t>
      </w:r>
      <w:r w:rsidR="00A21152">
        <w:rPr>
          <w:rFonts w:ascii="Arial" w:hAnsi="Arial" w:cs="Arial"/>
          <w:iCs/>
        </w:rPr>
        <w:t>rezervace</w:t>
      </w:r>
      <w:r w:rsidRPr="00594D5B">
        <w:rPr>
          <w:rFonts w:ascii="Arial" w:hAnsi="Arial" w:cs="Arial"/>
          <w:iCs/>
        </w:rPr>
        <w:t xml:space="preserve"> (ve smyslu § 3</w:t>
      </w:r>
      <w:r w:rsidR="003C0526">
        <w:rPr>
          <w:rFonts w:ascii="Arial" w:hAnsi="Arial" w:cs="Arial"/>
          <w:iCs/>
        </w:rPr>
        <w:t>3</w:t>
      </w:r>
      <w:r w:rsidRPr="00594D5B">
        <w:rPr>
          <w:rFonts w:ascii="Arial" w:hAnsi="Arial" w:cs="Arial"/>
          <w:iCs/>
        </w:rPr>
        <w:t xml:space="preserve"> zákona č. 114/1992 Sb., o ochraně přírody a krajiny)</w:t>
      </w:r>
    </w:p>
    <w:p w:rsidR="00A50208" w:rsidRPr="00594D5B" w:rsidRDefault="00A50208" w:rsidP="00D524AD">
      <w:pPr>
        <w:spacing w:after="0" w:line="276" w:lineRule="auto"/>
        <w:jc w:val="both"/>
        <w:rPr>
          <w:rFonts w:ascii="Arial" w:hAnsi="Arial" w:cs="Arial"/>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bližších podmínek ochrany: </w:t>
      </w:r>
    </w:p>
    <w:p w:rsidR="00B6069A" w:rsidRPr="00594D5B" w:rsidRDefault="00D524AD" w:rsidP="00AC21CE">
      <w:pPr>
        <w:spacing w:before="120" w:after="0" w:line="276" w:lineRule="auto"/>
        <w:jc w:val="both"/>
        <w:rPr>
          <w:rFonts w:ascii="Arial" w:hAnsi="Arial" w:cs="Arial"/>
          <w:iCs/>
        </w:rPr>
      </w:pPr>
      <w:r w:rsidRPr="00594D5B">
        <w:rPr>
          <w:rFonts w:ascii="Arial" w:hAnsi="Arial" w:cs="Arial"/>
          <w:iCs/>
        </w:rPr>
        <w:t>Výčet činností a zásahů, které mají být podle § 44 odst. 3 zákona č. 14/1992 Sb., o ochraně přírody a krajiny vázány na předchozí souhlas orgánu ochrany přírody. Jsou navržené s ohledem na předmět</w:t>
      </w:r>
      <w:r w:rsidR="0051737C" w:rsidRPr="00594D5B">
        <w:rPr>
          <w:rFonts w:ascii="Arial" w:hAnsi="Arial" w:cs="Arial"/>
          <w:iCs/>
        </w:rPr>
        <w:t>y</w:t>
      </w:r>
      <w:r w:rsidRPr="00594D5B">
        <w:rPr>
          <w:rFonts w:ascii="Arial" w:hAnsi="Arial" w:cs="Arial"/>
          <w:iCs/>
        </w:rPr>
        <w:t xml:space="preserve"> ochrany a cíle ochrany přírodní </w:t>
      </w:r>
      <w:r w:rsidR="007D56D3" w:rsidRPr="00594D5B">
        <w:rPr>
          <w:rFonts w:ascii="Arial" w:hAnsi="Arial" w:cs="Arial"/>
          <w:iCs/>
        </w:rPr>
        <w:t>památky</w:t>
      </w:r>
      <w:r w:rsidRPr="00594D5B">
        <w:rPr>
          <w:rFonts w:ascii="Arial" w:hAnsi="Arial" w:cs="Arial"/>
          <w:iCs/>
        </w:rPr>
        <w:t>:</w:t>
      </w:r>
    </w:p>
    <w:p w:rsidR="00A86918" w:rsidRPr="00151FFA" w:rsidRDefault="00A86918" w:rsidP="00AC21CE">
      <w:pPr>
        <w:pStyle w:val="Odstavecseseznamem"/>
        <w:numPr>
          <w:ilvl w:val="0"/>
          <w:numId w:val="2"/>
        </w:numPr>
        <w:spacing w:before="120" w:after="0" w:line="276" w:lineRule="auto"/>
        <w:ind w:left="426" w:hanging="426"/>
        <w:jc w:val="both"/>
        <w:rPr>
          <w:rFonts w:ascii="Arial" w:hAnsi="Arial" w:cs="Arial"/>
          <w:iCs/>
          <w:u w:val="single"/>
        </w:rPr>
      </w:pPr>
      <w:r w:rsidRPr="00151FFA">
        <w:rPr>
          <w:rFonts w:ascii="Arial" w:hAnsi="Arial" w:cs="Arial"/>
          <w:iCs/>
          <w:u w:val="single"/>
        </w:rPr>
        <w:t>narušovat geologický podklad, provádět geologické práce spojené se zásahem do území (průzkumy, vrty</w:t>
      </w:r>
      <w:r>
        <w:rPr>
          <w:rFonts w:ascii="Arial" w:hAnsi="Arial" w:cs="Arial"/>
          <w:iCs/>
          <w:u w:val="single"/>
        </w:rPr>
        <w:t>, těžba kamene),</w:t>
      </w:r>
    </w:p>
    <w:p w:rsidR="00A86918" w:rsidRDefault="00384CCB" w:rsidP="00AC21CE">
      <w:pPr>
        <w:pStyle w:val="Odstavecseseznamem"/>
        <w:spacing w:after="0" w:line="276" w:lineRule="auto"/>
        <w:ind w:left="426"/>
        <w:jc w:val="both"/>
        <w:rPr>
          <w:rFonts w:ascii="Arial" w:hAnsi="Arial" w:cs="Arial"/>
          <w:iCs/>
        </w:rPr>
      </w:pPr>
      <w:r w:rsidRPr="00384CCB">
        <w:rPr>
          <w:rFonts w:ascii="Arial" w:hAnsi="Arial" w:cs="Arial"/>
          <w:iCs/>
        </w:rPr>
        <w:t>Narušení geologického podkladu a případné geologické práce mohou poškodit chráněná společenstva, popř. ovlivnit přirozenou obnovu lesa.</w:t>
      </w:r>
    </w:p>
    <w:p w:rsidR="00F01203" w:rsidRDefault="00F01203" w:rsidP="00AC21CE">
      <w:pPr>
        <w:pStyle w:val="Odstavecseseznamem"/>
        <w:spacing w:after="0" w:line="276" w:lineRule="auto"/>
        <w:ind w:left="426"/>
        <w:jc w:val="both"/>
        <w:rPr>
          <w:rFonts w:ascii="Arial" w:hAnsi="Arial" w:cs="Arial"/>
          <w:iCs/>
        </w:rPr>
      </w:pPr>
    </w:p>
    <w:p w:rsidR="00F01203" w:rsidRPr="00151FFA" w:rsidRDefault="00F01203" w:rsidP="00EB47B4">
      <w:pPr>
        <w:pStyle w:val="Odstavecseseznamem"/>
        <w:numPr>
          <w:ilvl w:val="0"/>
          <w:numId w:val="2"/>
        </w:numPr>
        <w:spacing w:before="120" w:after="0" w:line="276" w:lineRule="auto"/>
        <w:ind w:left="426" w:hanging="426"/>
        <w:jc w:val="both"/>
        <w:rPr>
          <w:rFonts w:ascii="Arial" w:hAnsi="Arial" w:cs="Arial"/>
          <w:iCs/>
          <w:u w:val="single"/>
        </w:rPr>
      </w:pPr>
      <w:r>
        <w:rPr>
          <w:rFonts w:ascii="Arial" w:hAnsi="Arial" w:cs="Arial"/>
          <w:iCs/>
          <w:u w:val="single"/>
        </w:rPr>
        <w:t>provozovat horolezeckou činnost</w:t>
      </w:r>
    </w:p>
    <w:p w:rsidR="00F01203" w:rsidRDefault="00F01203" w:rsidP="00F01203">
      <w:pPr>
        <w:pStyle w:val="Odstavecseseznamem"/>
        <w:spacing w:after="0" w:line="276" w:lineRule="auto"/>
        <w:ind w:left="426"/>
        <w:jc w:val="both"/>
        <w:rPr>
          <w:rFonts w:ascii="Arial" w:hAnsi="Arial" w:cs="Arial"/>
          <w:iCs/>
        </w:rPr>
      </w:pPr>
      <w:r>
        <w:rPr>
          <w:rFonts w:ascii="Arial" w:hAnsi="Arial" w:cs="Arial"/>
          <w:iCs/>
        </w:rPr>
        <w:t>Horolezecká</w:t>
      </w:r>
      <w:r w:rsidRPr="00097552">
        <w:rPr>
          <w:rFonts w:ascii="Arial" w:hAnsi="Arial" w:cs="Arial"/>
          <w:iCs/>
        </w:rPr>
        <w:t xml:space="preserve"> činnost</w:t>
      </w:r>
      <w:r>
        <w:rPr>
          <w:rFonts w:ascii="Arial" w:hAnsi="Arial" w:cs="Arial"/>
          <w:iCs/>
        </w:rPr>
        <w:t xml:space="preserve"> může přímo poškodit skalní útvary, rušit zvláště chráněné druhy ptáků a znemožnit jejich hnízdění a případné používání magnesia k usnadnění výstupu ovlivňuje chemismus skalního podkladu</w:t>
      </w:r>
      <w:r>
        <w:rPr>
          <w:rFonts w:ascii="Arial" w:hAnsi="Arial" w:cs="Arial"/>
          <w:iCs/>
        </w:rPr>
        <w:t>.</w:t>
      </w:r>
    </w:p>
    <w:p w:rsidR="00B125B9" w:rsidRDefault="00B125B9" w:rsidP="00F01203">
      <w:pPr>
        <w:pStyle w:val="Odstavecseseznamem"/>
        <w:spacing w:after="0" w:line="276" w:lineRule="auto"/>
        <w:ind w:left="426"/>
        <w:jc w:val="both"/>
        <w:rPr>
          <w:rFonts w:ascii="Arial" w:hAnsi="Arial" w:cs="Arial"/>
          <w:iCs/>
        </w:rPr>
      </w:pPr>
    </w:p>
    <w:p w:rsidR="00B125B9" w:rsidRPr="00151FFA" w:rsidRDefault="00B125B9" w:rsidP="00EB47B4">
      <w:pPr>
        <w:pStyle w:val="Odstavecseseznamem"/>
        <w:numPr>
          <w:ilvl w:val="0"/>
          <w:numId w:val="2"/>
        </w:numPr>
        <w:spacing w:before="120" w:after="0" w:line="276" w:lineRule="auto"/>
        <w:ind w:left="426" w:hanging="426"/>
        <w:jc w:val="both"/>
        <w:rPr>
          <w:rFonts w:ascii="Arial" w:hAnsi="Arial" w:cs="Arial"/>
          <w:iCs/>
          <w:u w:val="single"/>
        </w:rPr>
      </w:pPr>
      <w:r>
        <w:rPr>
          <w:rFonts w:ascii="Arial" w:hAnsi="Arial" w:cs="Arial"/>
          <w:iCs/>
          <w:u w:val="single"/>
        </w:rPr>
        <w:t>pořádat hromadné sportovní akce</w:t>
      </w:r>
    </w:p>
    <w:p w:rsidR="00B125B9" w:rsidRPr="00B125B9" w:rsidRDefault="00EB47B4" w:rsidP="00B125B9">
      <w:pPr>
        <w:pStyle w:val="Odstavecseseznamem"/>
        <w:spacing w:after="0" w:line="276" w:lineRule="auto"/>
        <w:ind w:left="426"/>
        <w:jc w:val="both"/>
        <w:rPr>
          <w:rFonts w:ascii="Arial" w:hAnsi="Arial" w:cs="Arial"/>
          <w:iCs/>
        </w:rPr>
      </w:pPr>
      <w:r>
        <w:rPr>
          <w:rFonts w:ascii="Arial" w:hAnsi="Arial" w:cs="Arial"/>
          <w:iCs/>
        </w:rPr>
        <w:t xml:space="preserve">Hromadné sportovní akce </w:t>
      </w:r>
      <w:r w:rsidR="003B1657">
        <w:rPr>
          <w:rFonts w:ascii="Arial" w:hAnsi="Arial" w:cs="Arial"/>
          <w:iCs/>
        </w:rPr>
        <w:t xml:space="preserve">mohou </w:t>
      </w:r>
      <w:r>
        <w:rPr>
          <w:rFonts w:ascii="Arial" w:hAnsi="Arial" w:cs="Arial"/>
          <w:iCs/>
        </w:rPr>
        <w:t xml:space="preserve">negativně ovlivňovat předměty ochrany, v jejich důsledku může docházet např. k nadměrnému sešlapu a ovlivnění přirozeného zmlazení lesa, přímému poškození útvarů neživé přírody, které jsou předmětem ochrany, </w:t>
      </w:r>
      <w:r w:rsidR="003B1657">
        <w:rPr>
          <w:rFonts w:ascii="Arial" w:hAnsi="Arial" w:cs="Arial"/>
          <w:iCs/>
        </w:rPr>
        <w:t>rušení zvláště chráněných druhů živočichů, atp.</w:t>
      </w:r>
      <w:r>
        <w:rPr>
          <w:rFonts w:ascii="Arial" w:hAnsi="Arial" w:cs="Arial"/>
          <w:iCs/>
        </w:rPr>
        <w:t xml:space="preserve">   </w:t>
      </w:r>
    </w:p>
    <w:p w:rsidR="00384CCB" w:rsidRDefault="00384CCB" w:rsidP="00384CCB">
      <w:pPr>
        <w:pStyle w:val="Odstavecseseznamem"/>
        <w:spacing w:after="0" w:line="276" w:lineRule="auto"/>
        <w:ind w:left="357"/>
        <w:jc w:val="both"/>
        <w:rPr>
          <w:rFonts w:ascii="Arial" w:eastAsia="Times New Roman" w:hAnsi="Arial" w:cs="Arial"/>
          <w:iCs/>
          <w:u w:val="single"/>
          <w:lang w:eastAsia="cs-CZ"/>
        </w:rPr>
      </w:pPr>
    </w:p>
    <w:p w:rsidR="00384CCB" w:rsidRPr="0051737C" w:rsidRDefault="00384CCB" w:rsidP="00384CCB">
      <w:pPr>
        <w:pStyle w:val="Odstavecseseznamem"/>
        <w:numPr>
          <w:ilvl w:val="0"/>
          <w:numId w:val="2"/>
        </w:numPr>
        <w:spacing w:after="0" w:line="276" w:lineRule="auto"/>
        <w:ind w:left="426"/>
        <w:jc w:val="both"/>
        <w:rPr>
          <w:rFonts w:ascii="Arial" w:hAnsi="Arial" w:cs="Arial"/>
          <w:iCs/>
          <w:u w:val="single"/>
        </w:rPr>
      </w:pPr>
      <w:r w:rsidRPr="0051737C">
        <w:rPr>
          <w:rFonts w:ascii="Arial" w:hAnsi="Arial" w:cs="Arial"/>
          <w:iCs/>
          <w:u w:val="single"/>
        </w:rPr>
        <w:t xml:space="preserve">zřizovat nová myslivecká zařízení (krmeliště, vnadiště, újediště a slaniska) </w:t>
      </w:r>
    </w:p>
    <w:p w:rsidR="00384CCB" w:rsidRDefault="00384CCB" w:rsidP="00384CCB">
      <w:pPr>
        <w:spacing w:after="0" w:line="276" w:lineRule="auto"/>
        <w:ind w:left="426"/>
        <w:jc w:val="both"/>
        <w:rPr>
          <w:rFonts w:ascii="Arial" w:hAnsi="Arial" w:cs="Arial"/>
          <w:iCs/>
        </w:rPr>
      </w:pPr>
      <w:r w:rsidRPr="0051737C">
        <w:rPr>
          <w:rFonts w:ascii="Arial" w:hAnsi="Arial" w:cs="Arial"/>
          <w:iCs/>
        </w:rPr>
        <w:t>Rostlinná společenstva citlivě reagují na zvýšený obsah dusíku a fosforu v půdě. Myslivecká zařízení způsobují koncentraci zvěře na poměrně malé ploše, která vede ke zvýšenému sešlapu a k nadbytku živin (zejména dusík a fosfor) pocházejících z trusu zvířat nebo přímo z předkládaných krmiv. Jak zvýšený sešlap, tak nadbytek živin významně ovlivňují biochemické poměry v půdě, a tím rostlinná společenstva.</w:t>
      </w:r>
      <w:r>
        <w:rPr>
          <w:rFonts w:ascii="Arial" w:hAnsi="Arial" w:cs="Arial"/>
          <w:iCs/>
        </w:rPr>
        <w:t xml:space="preserve"> Zvýšená </w:t>
      </w:r>
      <w:r>
        <w:rPr>
          <w:rFonts w:ascii="Arial" w:hAnsi="Arial" w:cs="Arial"/>
          <w:iCs/>
        </w:rPr>
        <w:lastRenderedPageBreak/>
        <w:t xml:space="preserve">koncentrace zvěře rovněž zásadním způsobem omezuje možnost přirozené obnovy lesních porostů – potlačuje zmlazení lesních dřevin a poškozuje mladší skupiny loupáním a ohryzem. </w:t>
      </w:r>
    </w:p>
    <w:p w:rsidR="00F01203" w:rsidRDefault="00F01203" w:rsidP="00F01203">
      <w:pPr>
        <w:spacing w:after="0" w:line="276" w:lineRule="auto"/>
        <w:jc w:val="both"/>
        <w:rPr>
          <w:rFonts w:ascii="Arial" w:hAnsi="Arial" w:cs="Arial"/>
          <w:iCs/>
        </w:rPr>
      </w:pPr>
    </w:p>
    <w:p w:rsidR="003E4F73" w:rsidRPr="003E4F73" w:rsidRDefault="003E4F73" w:rsidP="00384CCB">
      <w:pPr>
        <w:numPr>
          <w:ilvl w:val="0"/>
          <w:numId w:val="2"/>
        </w:numPr>
        <w:spacing w:after="0" w:line="276" w:lineRule="auto"/>
        <w:ind w:left="426" w:hanging="427"/>
        <w:jc w:val="both"/>
        <w:rPr>
          <w:rFonts w:ascii="Arial" w:hAnsi="Arial" w:cs="Arial"/>
          <w:iCs/>
          <w:u w:val="single"/>
        </w:rPr>
      </w:pPr>
      <w:r w:rsidRPr="003E4F73">
        <w:rPr>
          <w:rFonts w:ascii="Arial" w:hAnsi="Arial" w:cs="Arial"/>
          <w:iCs/>
          <w:u w:val="single"/>
        </w:rPr>
        <w:t>umisťovat prvky návštěvnické infrastruktury</w:t>
      </w:r>
    </w:p>
    <w:p w:rsidR="003E4F73" w:rsidRDefault="003E4F73" w:rsidP="00384CCB">
      <w:pPr>
        <w:spacing w:after="0" w:line="276" w:lineRule="auto"/>
        <w:ind w:left="426"/>
        <w:jc w:val="both"/>
        <w:rPr>
          <w:rFonts w:ascii="Arial" w:hAnsi="Arial" w:cs="Arial"/>
          <w:iCs/>
        </w:rPr>
      </w:pPr>
      <w:r w:rsidRPr="003E4F73">
        <w:rPr>
          <w:rFonts w:ascii="Arial" w:hAnsi="Arial" w:cs="Arial"/>
          <w:iCs/>
        </w:rPr>
        <w:t xml:space="preserve">Realizace prvků návštěvnické infrastruktury může (i v důsledku následných změn rozsahu i charakteru návštěvnosti) ovlivnit cenné přírodní a estetické hodnoty v území a může přispět ke zhoršení </w:t>
      </w:r>
      <w:r>
        <w:rPr>
          <w:rFonts w:ascii="Arial" w:hAnsi="Arial" w:cs="Arial"/>
          <w:iCs/>
        </w:rPr>
        <w:t>příznivého</w:t>
      </w:r>
      <w:r w:rsidRPr="003E4F73">
        <w:rPr>
          <w:rFonts w:ascii="Arial" w:hAnsi="Arial" w:cs="Arial"/>
          <w:iCs/>
        </w:rPr>
        <w:t xml:space="preserve"> stav</w:t>
      </w:r>
      <w:r>
        <w:rPr>
          <w:rFonts w:ascii="Arial" w:hAnsi="Arial" w:cs="Arial"/>
          <w:iCs/>
        </w:rPr>
        <w:t>u předmětu</w:t>
      </w:r>
      <w:r w:rsidRPr="003E4F73">
        <w:rPr>
          <w:rFonts w:ascii="Arial" w:hAnsi="Arial" w:cs="Arial"/>
          <w:iCs/>
        </w:rPr>
        <w:t xml:space="preserve"> ochrany přírodní </w:t>
      </w:r>
      <w:r>
        <w:rPr>
          <w:rFonts w:ascii="Arial" w:hAnsi="Arial" w:cs="Arial"/>
          <w:iCs/>
        </w:rPr>
        <w:t>památky</w:t>
      </w:r>
      <w:r w:rsidRPr="003E4F73">
        <w:rPr>
          <w:rFonts w:ascii="Arial" w:hAnsi="Arial" w:cs="Arial"/>
          <w:iCs/>
        </w:rPr>
        <w:t>. Jednotlivé záměry je tak nezbytné v předstihu individuálně posoudit, aby bylo umožněno negativní vlivy minimalizovat</w:t>
      </w:r>
      <w:r>
        <w:rPr>
          <w:rFonts w:ascii="Arial" w:hAnsi="Arial" w:cs="Arial"/>
          <w:iCs/>
        </w:rPr>
        <w:t>.</w:t>
      </w:r>
    </w:p>
    <w:p w:rsidR="002664F5" w:rsidRDefault="002664F5" w:rsidP="002664F5">
      <w:pPr>
        <w:spacing w:after="0" w:line="276" w:lineRule="auto"/>
        <w:jc w:val="both"/>
        <w:rPr>
          <w:rFonts w:ascii="Arial" w:hAnsi="Arial" w:cs="Arial"/>
          <w:iCs/>
        </w:rPr>
      </w:pPr>
    </w:p>
    <w:p w:rsidR="003838C9" w:rsidRPr="00594D5B" w:rsidRDefault="003838C9" w:rsidP="009725AC">
      <w:pPr>
        <w:spacing w:after="0" w:line="276" w:lineRule="auto"/>
        <w:jc w:val="both"/>
        <w:rPr>
          <w:rFonts w:ascii="Arial" w:hAnsi="Arial" w:cs="Arial"/>
          <w:b/>
          <w:bCs/>
        </w:rPr>
      </w:pPr>
      <w:r w:rsidRPr="00594D5B">
        <w:rPr>
          <w:rFonts w:ascii="Arial" w:hAnsi="Arial" w:cs="Arial"/>
          <w:b/>
          <w:bCs/>
        </w:rPr>
        <w:t xml:space="preserve">Přehled katastrálních území a parcelních čísel pozemků dotčených navrhovanou přírodní </w:t>
      </w:r>
      <w:r w:rsidR="00070D90" w:rsidRPr="00594D5B">
        <w:rPr>
          <w:rFonts w:ascii="Arial" w:hAnsi="Arial" w:cs="Arial"/>
          <w:b/>
          <w:bCs/>
        </w:rPr>
        <w:t>památkou</w:t>
      </w:r>
      <w:r w:rsidRPr="00594D5B">
        <w:rPr>
          <w:rFonts w:ascii="Arial" w:hAnsi="Arial" w:cs="Arial"/>
          <w:b/>
          <w:bCs/>
        </w:rPr>
        <w:t>:</w:t>
      </w:r>
    </w:p>
    <w:p w:rsidR="00C1480B" w:rsidRPr="00C1480B" w:rsidRDefault="00C1480B" w:rsidP="00C1480B">
      <w:pPr>
        <w:autoSpaceDE w:val="0"/>
        <w:autoSpaceDN w:val="0"/>
        <w:spacing w:after="0" w:line="240" w:lineRule="auto"/>
        <w:jc w:val="both"/>
        <w:rPr>
          <w:rFonts w:ascii="Arial" w:eastAsia="Times New Roman" w:hAnsi="Arial" w:cs="Arial"/>
          <w:b/>
          <w:iCs/>
          <w:szCs w:val="16"/>
          <w:lang w:eastAsia="cs-CZ"/>
        </w:rPr>
      </w:pPr>
    </w:p>
    <w:p w:rsidR="00C1480B" w:rsidRPr="00C1480B" w:rsidRDefault="00C1480B" w:rsidP="00C1480B">
      <w:pPr>
        <w:autoSpaceDE w:val="0"/>
        <w:autoSpaceDN w:val="0"/>
        <w:spacing w:after="0" w:line="240" w:lineRule="auto"/>
        <w:jc w:val="both"/>
        <w:rPr>
          <w:rFonts w:ascii="Arial" w:eastAsia="Times New Roman" w:hAnsi="Arial" w:cs="Arial"/>
          <w:i/>
          <w:iCs/>
          <w:szCs w:val="24"/>
          <w:u w:val="single"/>
          <w:lang w:eastAsia="cs-CZ"/>
        </w:rPr>
      </w:pPr>
      <w:r w:rsidRPr="00C1480B">
        <w:rPr>
          <w:rFonts w:ascii="Arial" w:eastAsia="Times New Roman" w:hAnsi="Arial" w:cs="Arial"/>
          <w:bCs/>
          <w:szCs w:val="24"/>
          <w:u w:val="single"/>
          <w:lang w:eastAsia="cs-CZ"/>
        </w:rPr>
        <w:t xml:space="preserve">Katastrální území: </w:t>
      </w:r>
      <w:r w:rsidR="00FB0AB1">
        <w:rPr>
          <w:rFonts w:ascii="Arial" w:eastAsia="Times New Roman" w:hAnsi="Arial" w:cs="Arial"/>
          <w:bCs/>
          <w:szCs w:val="24"/>
          <w:u w:val="single"/>
          <w:lang w:eastAsia="cs-CZ"/>
        </w:rPr>
        <w:t xml:space="preserve">744760 </w:t>
      </w:r>
      <w:r w:rsidR="00FB0AB1">
        <w:rPr>
          <w:rFonts w:ascii="Arial" w:eastAsia="Times New Roman" w:hAnsi="Arial" w:cs="Arial"/>
          <w:iCs/>
          <w:szCs w:val="24"/>
          <w:u w:val="single"/>
          <w:lang w:eastAsia="cs-CZ"/>
        </w:rPr>
        <w:t>Řásná</w:t>
      </w:r>
    </w:p>
    <w:tbl>
      <w:tblPr>
        <w:tblW w:w="8128"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2126"/>
        <w:gridCol w:w="2268"/>
        <w:gridCol w:w="1465"/>
        <w:gridCol w:w="1418"/>
      </w:tblGrid>
      <w:tr w:rsidR="003B4048" w:rsidRPr="00C1480B" w:rsidTr="003B4048">
        <w:trPr>
          <w:cantSplit/>
          <w:trHeight w:val="543"/>
        </w:trPr>
        <w:tc>
          <w:tcPr>
            <w:tcW w:w="851" w:type="dxa"/>
            <w:tcBorders>
              <w:top w:val="single" w:sz="18" w:space="0" w:color="auto"/>
              <w:left w:val="single" w:sz="18" w:space="0" w:color="auto"/>
            </w:tcBorders>
            <w:shd w:val="clear" w:color="auto" w:fill="C0C0C0"/>
          </w:tcPr>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Číslo parcely podle KN</w:t>
            </w:r>
          </w:p>
        </w:tc>
        <w:tc>
          <w:tcPr>
            <w:tcW w:w="2126" w:type="dxa"/>
            <w:tcBorders>
              <w:top w:val="single" w:sz="18" w:space="0" w:color="auto"/>
            </w:tcBorders>
            <w:shd w:val="clear" w:color="auto" w:fill="C0C0C0"/>
          </w:tcPr>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Druh pozemku podle KN</w:t>
            </w:r>
          </w:p>
        </w:tc>
        <w:tc>
          <w:tcPr>
            <w:tcW w:w="2268" w:type="dxa"/>
            <w:tcBorders>
              <w:top w:val="single" w:sz="18" w:space="0" w:color="auto"/>
            </w:tcBorders>
            <w:shd w:val="clear" w:color="auto" w:fill="C0C0C0"/>
          </w:tcPr>
          <w:p w:rsidR="003B4048" w:rsidRPr="008B3052" w:rsidRDefault="003B4048" w:rsidP="00C1480B">
            <w:pPr>
              <w:autoSpaceDE w:val="0"/>
              <w:autoSpaceDN w:val="0"/>
              <w:spacing w:after="0" w:line="240" w:lineRule="auto"/>
              <w:jc w:val="both"/>
              <w:rPr>
                <w:rFonts w:ascii="Arial" w:eastAsia="Times New Roman" w:hAnsi="Arial" w:cs="Arial"/>
                <w:b/>
                <w:bCs/>
                <w:iCs/>
                <w:sz w:val="14"/>
                <w:szCs w:val="16"/>
                <w:lang w:eastAsia="cs-CZ"/>
              </w:rPr>
            </w:pPr>
            <w:r w:rsidRPr="008B3052">
              <w:rPr>
                <w:rFonts w:ascii="Arial" w:eastAsia="Times New Roman" w:hAnsi="Arial" w:cs="Arial"/>
                <w:b/>
                <w:iCs/>
                <w:sz w:val="14"/>
                <w:szCs w:val="16"/>
                <w:lang w:eastAsia="cs-CZ"/>
              </w:rPr>
              <w:t>Způsob využití pozemku podle KN</w:t>
            </w:r>
          </w:p>
        </w:tc>
        <w:tc>
          <w:tcPr>
            <w:tcW w:w="1465" w:type="dxa"/>
            <w:tcBorders>
              <w:top w:val="single" w:sz="18" w:space="0" w:color="auto"/>
            </w:tcBorders>
            <w:shd w:val="clear" w:color="auto" w:fill="C0C0C0"/>
          </w:tcPr>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Výměra parcely</w:t>
            </w:r>
          </w:p>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celková podle KN</w:t>
            </w:r>
          </w:p>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(m</w:t>
            </w:r>
            <w:r w:rsidRPr="00C1480B">
              <w:rPr>
                <w:rFonts w:ascii="Arial" w:eastAsia="Times New Roman" w:hAnsi="Arial" w:cs="Arial"/>
                <w:b/>
                <w:bCs/>
                <w:sz w:val="14"/>
                <w:szCs w:val="16"/>
                <w:vertAlign w:val="superscript"/>
                <w:lang w:eastAsia="cs-CZ"/>
              </w:rPr>
              <w:t>2</w:t>
            </w:r>
            <w:r w:rsidRPr="00C1480B">
              <w:rPr>
                <w:rFonts w:ascii="Arial" w:eastAsia="Times New Roman" w:hAnsi="Arial" w:cs="Arial"/>
                <w:b/>
                <w:bCs/>
                <w:sz w:val="14"/>
                <w:szCs w:val="16"/>
                <w:lang w:eastAsia="cs-CZ"/>
              </w:rPr>
              <w:t>)</w:t>
            </w:r>
          </w:p>
        </w:tc>
        <w:tc>
          <w:tcPr>
            <w:tcW w:w="1418" w:type="dxa"/>
            <w:tcBorders>
              <w:top w:val="single" w:sz="18" w:space="0" w:color="auto"/>
              <w:right w:val="single" w:sz="18" w:space="0" w:color="auto"/>
            </w:tcBorders>
            <w:shd w:val="clear" w:color="auto" w:fill="C0C0C0"/>
          </w:tcPr>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Výměra parcely</w:t>
            </w:r>
          </w:p>
          <w:p w:rsidR="003B4048" w:rsidRPr="00C1480B" w:rsidRDefault="003B4048" w:rsidP="00C1480B">
            <w:pPr>
              <w:autoSpaceDE w:val="0"/>
              <w:autoSpaceDN w:val="0"/>
              <w:spacing w:after="0" w:line="240" w:lineRule="auto"/>
              <w:rPr>
                <w:rFonts w:ascii="Arial" w:eastAsia="Times New Roman" w:hAnsi="Arial" w:cs="Arial"/>
                <w:b/>
                <w:bCs/>
                <w:sz w:val="14"/>
                <w:szCs w:val="16"/>
                <w:lang w:eastAsia="cs-CZ"/>
              </w:rPr>
            </w:pPr>
            <w:r w:rsidRPr="00C1480B">
              <w:rPr>
                <w:rFonts w:ascii="Arial" w:eastAsia="Times New Roman" w:hAnsi="Arial" w:cs="Arial"/>
                <w:b/>
                <w:bCs/>
                <w:sz w:val="14"/>
                <w:szCs w:val="16"/>
                <w:lang w:eastAsia="cs-CZ"/>
              </w:rPr>
              <w:t>v ZCHÚ (m</w:t>
            </w:r>
            <w:r w:rsidRPr="00C1480B">
              <w:rPr>
                <w:rFonts w:ascii="Arial" w:eastAsia="Times New Roman" w:hAnsi="Arial" w:cs="Arial"/>
                <w:b/>
                <w:bCs/>
                <w:sz w:val="14"/>
                <w:szCs w:val="16"/>
                <w:vertAlign w:val="superscript"/>
                <w:lang w:eastAsia="cs-CZ"/>
              </w:rPr>
              <w:t>2</w:t>
            </w:r>
            <w:r>
              <w:rPr>
                <w:rFonts w:ascii="Arial" w:eastAsia="Times New Roman" w:hAnsi="Arial" w:cs="Arial"/>
                <w:b/>
                <w:bCs/>
                <w:sz w:val="14"/>
                <w:szCs w:val="16"/>
                <w:lang w:eastAsia="cs-CZ"/>
              </w:rPr>
              <w:t>)</w:t>
            </w:r>
          </w:p>
        </w:tc>
      </w:tr>
      <w:tr w:rsidR="003B4048" w:rsidRPr="00C1480B" w:rsidTr="003B4048">
        <w:trPr>
          <w:cantSplit/>
        </w:trPr>
        <w:tc>
          <w:tcPr>
            <w:tcW w:w="851" w:type="dxa"/>
            <w:tcBorders>
              <w:top w:val="nil"/>
              <w:left w:val="single" w:sz="18" w:space="0" w:color="auto"/>
            </w:tcBorders>
          </w:tcPr>
          <w:p w:rsidR="003B4048" w:rsidRPr="00C1480B" w:rsidRDefault="003B4048" w:rsidP="00C1480B">
            <w:pPr>
              <w:autoSpaceDE w:val="0"/>
              <w:autoSpaceDN w:val="0"/>
              <w:spacing w:after="0" w:line="240" w:lineRule="auto"/>
              <w:rPr>
                <w:rFonts w:ascii="Arial" w:eastAsia="Times New Roman" w:hAnsi="Arial" w:cs="Arial"/>
                <w:sz w:val="18"/>
                <w:szCs w:val="20"/>
                <w:lang w:eastAsia="cs-CZ"/>
              </w:rPr>
            </w:pPr>
            <w:r>
              <w:rPr>
                <w:rFonts w:ascii="Arial" w:eastAsia="Times New Roman" w:hAnsi="Arial" w:cs="Arial"/>
                <w:sz w:val="18"/>
                <w:szCs w:val="20"/>
                <w:lang w:eastAsia="cs-CZ"/>
              </w:rPr>
              <w:t>329/4</w:t>
            </w:r>
          </w:p>
        </w:tc>
        <w:tc>
          <w:tcPr>
            <w:tcW w:w="2126" w:type="dxa"/>
            <w:tcBorders>
              <w:top w:val="nil"/>
            </w:tcBorders>
          </w:tcPr>
          <w:p w:rsidR="003B4048" w:rsidRPr="00C1480B" w:rsidRDefault="003B4048" w:rsidP="00C1480B">
            <w:pPr>
              <w:autoSpaceDE w:val="0"/>
              <w:autoSpaceDN w:val="0"/>
              <w:spacing w:after="0" w:line="240" w:lineRule="auto"/>
              <w:rPr>
                <w:rFonts w:ascii="Arial" w:eastAsia="Times New Roman" w:hAnsi="Arial" w:cs="Arial"/>
                <w:sz w:val="18"/>
                <w:szCs w:val="20"/>
                <w:lang w:eastAsia="cs-CZ"/>
              </w:rPr>
            </w:pPr>
            <w:r w:rsidRPr="00C1480B">
              <w:rPr>
                <w:rFonts w:ascii="Arial" w:eastAsia="Times New Roman" w:hAnsi="Arial" w:cs="Arial"/>
                <w:sz w:val="18"/>
                <w:szCs w:val="20"/>
                <w:lang w:eastAsia="cs-CZ"/>
              </w:rPr>
              <w:t>Lesní pozemek</w:t>
            </w:r>
          </w:p>
        </w:tc>
        <w:tc>
          <w:tcPr>
            <w:tcW w:w="2268" w:type="dxa"/>
            <w:tcBorders>
              <w:top w:val="nil"/>
            </w:tcBorders>
          </w:tcPr>
          <w:p w:rsidR="003B4048" w:rsidRPr="00C1480B" w:rsidRDefault="003B4048" w:rsidP="00C1480B">
            <w:pPr>
              <w:autoSpaceDE w:val="0"/>
              <w:autoSpaceDN w:val="0"/>
              <w:spacing w:after="0" w:line="240" w:lineRule="auto"/>
              <w:rPr>
                <w:rFonts w:ascii="Arial" w:eastAsia="Times New Roman" w:hAnsi="Arial" w:cs="Arial"/>
                <w:sz w:val="18"/>
                <w:szCs w:val="20"/>
                <w:lang w:eastAsia="cs-CZ"/>
              </w:rPr>
            </w:pPr>
            <w:r>
              <w:rPr>
                <w:rFonts w:ascii="Arial" w:eastAsia="Times New Roman" w:hAnsi="Arial" w:cs="Arial"/>
                <w:sz w:val="18"/>
                <w:szCs w:val="20"/>
                <w:lang w:eastAsia="cs-CZ"/>
              </w:rPr>
              <w:t>PUPFL</w:t>
            </w:r>
          </w:p>
        </w:tc>
        <w:tc>
          <w:tcPr>
            <w:tcW w:w="1465" w:type="dxa"/>
            <w:tcBorders>
              <w:top w:val="nil"/>
            </w:tcBorders>
          </w:tcPr>
          <w:p w:rsidR="003B4048" w:rsidRPr="00C1480B" w:rsidRDefault="003B4048" w:rsidP="00C1480B">
            <w:pPr>
              <w:autoSpaceDE w:val="0"/>
              <w:autoSpaceDN w:val="0"/>
              <w:spacing w:after="0" w:line="240" w:lineRule="auto"/>
              <w:rPr>
                <w:rFonts w:ascii="Arial" w:eastAsia="Times New Roman" w:hAnsi="Arial" w:cs="Arial"/>
                <w:sz w:val="18"/>
                <w:szCs w:val="20"/>
                <w:lang w:eastAsia="cs-CZ"/>
              </w:rPr>
            </w:pPr>
            <w:r>
              <w:rPr>
                <w:rFonts w:ascii="Arial" w:eastAsia="Times New Roman" w:hAnsi="Arial" w:cs="Arial"/>
                <w:sz w:val="18"/>
                <w:szCs w:val="20"/>
                <w:lang w:eastAsia="cs-CZ"/>
              </w:rPr>
              <w:t>1</w:t>
            </w:r>
            <w:r w:rsidR="00931900">
              <w:rPr>
                <w:rFonts w:ascii="Arial" w:eastAsia="Times New Roman" w:hAnsi="Arial" w:cs="Arial"/>
                <w:sz w:val="18"/>
                <w:szCs w:val="20"/>
                <w:lang w:eastAsia="cs-CZ"/>
              </w:rPr>
              <w:t xml:space="preserve"> </w:t>
            </w:r>
            <w:r>
              <w:rPr>
                <w:rFonts w:ascii="Arial" w:eastAsia="Times New Roman" w:hAnsi="Arial" w:cs="Arial"/>
                <w:sz w:val="18"/>
                <w:szCs w:val="20"/>
                <w:lang w:eastAsia="cs-CZ"/>
              </w:rPr>
              <w:t>333</w:t>
            </w:r>
            <w:r w:rsidR="00931900">
              <w:rPr>
                <w:rFonts w:ascii="Arial" w:eastAsia="Times New Roman" w:hAnsi="Arial" w:cs="Arial"/>
                <w:sz w:val="18"/>
                <w:szCs w:val="20"/>
                <w:lang w:eastAsia="cs-CZ"/>
              </w:rPr>
              <w:t xml:space="preserve"> </w:t>
            </w:r>
            <w:r>
              <w:rPr>
                <w:rFonts w:ascii="Arial" w:eastAsia="Times New Roman" w:hAnsi="Arial" w:cs="Arial"/>
                <w:sz w:val="18"/>
                <w:szCs w:val="20"/>
                <w:lang w:eastAsia="cs-CZ"/>
              </w:rPr>
              <w:t>023</w:t>
            </w:r>
          </w:p>
        </w:tc>
        <w:tc>
          <w:tcPr>
            <w:tcW w:w="1418" w:type="dxa"/>
            <w:tcBorders>
              <w:top w:val="nil"/>
              <w:right w:val="single" w:sz="18" w:space="0" w:color="auto"/>
            </w:tcBorders>
          </w:tcPr>
          <w:p w:rsidR="003B4048" w:rsidRPr="00C1480B" w:rsidRDefault="003B4048" w:rsidP="00C1480B">
            <w:pPr>
              <w:autoSpaceDE w:val="0"/>
              <w:autoSpaceDN w:val="0"/>
              <w:spacing w:after="0" w:line="240" w:lineRule="auto"/>
              <w:rPr>
                <w:rFonts w:ascii="Arial" w:eastAsia="Times New Roman" w:hAnsi="Arial" w:cs="Arial"/>
                <w:sz w:val="18"/>
                <w:szCs w:val="20"/>
                <w:lang w:eastAsia="cs-CZ"/>
              </w:rPr>
            </w:pPr>
            <w:r>
              <w:rPr>
                <w:rFonts w:ascii="Arial" w:eastAsia="Times New Roman" w:hAnsi="Arial" w:cs="Arial"/>
                <w:sz w:val="18"/>
                <w:szCs w:val="20"/>
                <w:lang w:eastAsia="cs-CZ"/>
              </w:rPr>
              <w:t>147</w:t>
            </w:r>
            <w:r w:rsidR="00931900">
              <w:rPr>
                <w:rFonts w:ascii="Arial" w:eastAsia="Times New Roman" w:hAnsi="Arial" w:cs="Arial"/>
                <w:sz w:val="18"/>
                <w:szCs w:val="20"/>
                <w:lang w:eastAsia="cs-CZ"/>
              </w:rPr>
              <w:t xml:space="preserve"> </w:t>
            </w:r>
            <w:r>
              <w:rPr>
                <w:rFonts w:ascii="Arial" w:eastAsia="Times New Roman" w:hAnsi="Arial" w:cs="Arial"/>
                <w:sz w:val="18"/>
                <w:szCs w:val="20"/>
                <w:lang w:eastAsia="cs-CZ"/>
              </w:rPr>
              <w:t>817</w:t>
            </w:r>
          </w:p>
        </w:tc>
      </w:tr>
      <w:tr w:rsidR="003B4048" w:rsidRPr="00C1480B" w:rsidTr="003B404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6710" w:type="dxa"/>
            <w:gridSpan w:val="4"/>
            <w:tcBorders>
              <w:bottom w:val="single" w:sz="18" w:space="0" w:color="auto"/>
            </w:tcBorders>
            <w:shd w:val="clear" w:color="auto" w:fill="D0CECE" w:themeFill="background2" w:themeFillShade="E6"/>
            <w:vAlign w:val="center"/>
          </w:tcPr>
          <w:p w:rsidR="003B4048" w:rsidRPr="00C1480B" w:rsidRDefault="003B4048" w:rsidP="003B4048">
            <w:pPr>
              <w:autoSpaceDE w:val="0"/>
              <w:autoSpaceDN w:val="0"/>
              <w:spacing w:after="0" w:line="240" w:lineRule="auto"/>
              <w:rPr>
                <w:rFonts w:ascii="Arial" w:eastAsia="Times New Roman" w:hAnsi="Arial" w:cs="Arial"/>
                <w:b/>
                <w:bCs/>
                <w:snapToGrid w:val="0"/>
                <w:sz w:val="18"/>
                <w:szCs w:val="20"/>
                <w:lang w:eastAsia="cs-CZ"/>
              </w:rPr>
            </w:pPr>
            <w:r>
              <w:rPr>
                <w:rFonts w:ascii="Arial" w:eastAsia="Times New Roman" w:hAnsi="Arial" w:cs="Arial"/>
                <w:b/>
                <w:bCs/>
                <w:snapToGrid w:val="0"/>
                <w:sz w:val="18"/>
                <w:szCs w:val="20"/>
                <w:lang w:eastAsia="cs-CZ"/>
              </w:rPr>
              <w:t>Celkem</w:t>
            </w:r>
          </w:p>
        </w:tc>
        <w:tc>
          <w:tcPr>
            <w:tcW w:w="1418" w:type="dxa"/>
            <w:tcBorders>
              <w:bottom w:val="single" w:sz="18" w:space="0" w:color="auto"/>
              <w:right w:val="single" w:sz="18" w:space="0" w:color="auto"/>
            </w:tcBorders>
            <w:shd w:val="clear" w:color="auto" w:fill="D0CECE" w:themeFill="background2" w:themeFillShade="E6"/>
          </w:tcPr>
          <w:p w:rsidR="003B4048" w:rsidRPr="00C1480B" w:rsidRDefault="00C47FF1" w:rsidP="00C1480B">
            <w:pPr>
              <w:autoSpaceDE w:val="0"/>
              <w:autoSpaceDN w:val="0"/>
              <w:spacing w:after="0" w:line="240" w:lineRule="auto"/>
              <w:rPr>
                <w:rFonts w:ascii="Arial" w:eastAsia="Times New Roman" w:hAnsi="Arial" w:cs="Arial"/>
                <w:b/>
                <w:bCs/>
                <w:snapToGrid w:val="0"/>
                <w:sz w:val="18"/>
                <w:szCs w:val="20"/>
                <w:lang w:eastAsia="cs-CZ"/>
              </w:rPr>
            </w:pPr>
            <w:r>
              <w:rPr>
                <w:rFonts w:ascii="Arial" w:eastAsia="Times New Roman" w:hAnsi="Arial" w:cs="Arial"/>
                <w:b/>
                <w:bCs/>
                <w:snapToGrid w:val="0"/>
                <w:sz w:val="18"/>
                <w:szCs w:val="20"/>
                <w:lang w:eastAsia="cs-CZ"/>
              </w:rPr>
              <w:t>147 817</w:t>
            </w:r>
          </w:p>
        </w:tc>
      </w:tr>
    </w:tbl>
    <w:p w:rsidR="002F0ABB" w:rsidRPr="00594D5B" w:rsidRDefault="002F0ABB" w:rsidP="00661D2F">
      <w:pPr>
        <w:spacing w:after="0" w:line="276" w:lineRule="auto"/>
        <w:jc w:val="both"/>
        <w:rPr>
          <w:rFonts w:ascii="Arial" w:hAnsi="Arial" w:cs="Arial"/>
          <w:b/>
          <w:bCs/>
        </w:rPr>
      </w:pPr>
    </w:p>
    <w:p w:rsidR="00661D2F" w:rsidRPr="00594D5B" w:rsidRDefault="00661D2F" w:rsidP="00661D2F">
      <w:pPr>
        <w:spacing w:after="0" w:line="276" w:lineRule="auto"/>
        <w:jc w:val="both"/>
        <w:rPr>
          <w:rFonts w:ascii="Arial" w:hAnsi="Arial" w:cs="Arial"/>
          <w:b/>
          <w:bCs/>
        </w:rPr>
      </w:pPr>
      <w:r w:rsidRPr="00594D5B">
        <w:rPr>
          <w:rFonts w:ascii="Arial" w:hAnsi="Arial" w:cs="Arial"/>
          <w:b/>
          <w:bCs/>
        </w:rPr>
        <w:t>Orientační výměra navrhovaného zvláště chráněného území:</w:t>
      </w:r>
    </w:p>
    <w:p w:rsidR="003838C9" w:rsidRPr="00594D5B" w:rsidRDefault="00931900" w:rsidP="00661D2F">
      <w:pPr>
        <w:spacing w:after="0" w:line="276" w:lineRule="auto"/>
        <w:jc w:val="both"/>
        <w:rPr>
          <w:rFonts w:ascii="Arial" w:hAnsi="Arial" w:cs="Arial"/>
          <w:bCs/>
        </w:rPr>
      </w:pPr>
      <w:r>
        <w:rPr>
          <w:rFonts w:ascii="Arial" w:hAnsi="Arial" w:cs="Arial"/>
          <w:bCs/>
        </w:rPr>
        <w:t>14,78</w:t>
      </w:r>
      <w:r w:rsidR="00661D2F" w:rsidRPr="00594D5B">
        <w:rPr>
          <w:rFonts w:ascii="Arial" w:hAnsi="Arial" w:cs="Arial"/>
          <w:bCs/>
        </w:rPr>
        <w:t xml:space="preserve"> ha</w:t>
      </w:r>
    </w:p>
    <w:p w:rsidR="00070D90" w:rsidRPr="00594D5B" w:rsidRDefault="00070D90" w:rsidP="00661D2F">
      <w:pPr>
        <w:spacing w:after="0" w:line="276" w:lineRule="auto"/>
        <w:jc w:val="both"/>
        <w:rPr>
          <w:rFonts w:ascii="Arial" w:hAnsi="Arial" w:cs="Arial"/>
          <w:bCs/>
        </w:rPr>
      </w:pPr>
    </w:p>
    <w:p w:rsidR="009725AC" w:rsidRPr="00594D5B" w:rsidRDefault="009725AC" w:rsidP="009725AC">
      <w:pPr>
        <w:spacing w:after="0" w:line="276" w:lineRule="auto"/>
        <w:jc w:val="both"/>
        <w:rPr>
          <w:rFonts w:ascii="Arial" w:hAnsi="Arial" w:cs="Arial"/>
          <w:b/>
          <w:bCs/>
        </w:rPr>
      </w:pPr>
      <w:r w:rsidRPr="00594D5B">
        <w:rPr>
          <w:rFonts w:ascii="Arial" w:hAnsi="Arial" w:cs="Arial"/>
          <w:b/>
          <w:bCs/>
        </w:rPr>
        <w:t xml:space="preserve">Odůvodnění záměru na nové vyhlášení zvláště chráněného území: </w:t>
      </w:r>
    </w:p>
    <w:p w:rsidR="0029464C" w:rsidRDefault="0029464C" w:rsidP="0029464C">
      <w:pPr>
        <w:pStyle w:val="Seznam2"/>
        <w:ind w:left="0" w:firstLine="0"/>
        <w:jc w:val="both"/>
        <w:rPr>
          <w:rFonts w:ascii="Arial" w:hAnsi="Arial" w:cs="Arial"/>
          <w:bCs/>
          <w:szCs w:val="24"/>
        </w:rPr>
      </w:pPr>
    </w:p>
    <w:p w:rsidR="0029464C" w:rsidRDefault="0029464C" w:rsidP="00966C12">
      <w:pPr>
        <w:pStyle w:val="Seznam2"/>
        <w:spacing w:after="120"/>
        <w:ind w:left="0" w:firstLine="0"/>
        <w:contextualSpacing w:val="0"/>
        <w:jc w:val="both"/>
        <w:rPr>
          <w:rFonts w:ascii="Arial" w:hAnsi="Arial" w:cs="Arial"/>
          <w:bCs/>
          <w:szCs w:val="24"/>
        </w:rPr>
      </w:pPr>
      <w:r>
        <w:rPr>
          <w:rFonts w:ascii="Arial" w:hAnsi="Arial" w:cs="Arial"/>
          <w:bCs/>
          <w:szCs w:val="24"/>
        </w:rPr>
        <w:t>Lokalita požívá ochrany již od r. 19</w:t>
      </w:r>
      <w:r w:rsidR="00095D51">
        <w:rPr>
          <w:rFonts w:ascii="Arial" w:hAnsi="Arial" w:cs="Arial"/>
          <w:bCs/>
          <w:szCs w:val="24"/>
        </w:rPr>
        <w:t>6</w:t>
      </w:r>
      <w:r>
        <w:rPr>
          <w:rFonts w:ascii="Arial" w:hAnsi="Arial" w:cs="Arial"/>
          <w:bCs/>
          <w:szCs w:val="24"/>
        </w:rPr>
        <w:t>4, kdy byla vyhlášena</w:t>
      </w:r>
      <w:r w:rsidR="00095D51">
        <w:rPr>
          <w:rFonts w:ascii="Arial" w:hAnsi="Arial" w:cs="Arial"/>
          <w:bCs/>
          <w:szCs w:val="24"/>
        </w:rPr>
        <w:t xml:space="preserve"> jako státní přírodní rezervace Ministerstvem školství a kultury. </w:t>
      </w:r>
      <w:r>
        <w:rPr>
          <w:rFonts w:ascii="Arial" w:hAnsi="Arial" w:cs="Arial"/>
          <w:bCs/>
          <w:szCs w:val="24"/>
        </w:rPr>
        <w:t xml:space="preserve"> </w:t>
      </w:r>
      <w:r w:rsidR="00095D51">
        <w:rPr>
          <w:rFonts w:ascii="Arial" w:hAnsi="Arial" w:cs="Arial"/>
          <w:bCs/>
          <w:szCs w:val="24"/>
        </w:rPr>
        <w:t xml:space="preserve">Důvodem nového vyhlášení je především </w:t>
      </w:r>
      <w:r w:rsidR="00F56514" w:rsidRPr="00F56514">
        <w:rPr>
          <w:rFonts w:ascii="Arial" w:hAnsi="Arial" w:cs="Arial"/>
          <w:bCs/>
          <w:szCs w:val="24"/>
        </w:rPr>
        <w:t>potřeba jednoznačně vymezit hranice P</w:t>
      </w:r>
      <w:r w:rsidR="00095D51">
        <w:rPr>
          <w:rFonts w:ascii="Arial" w:hAnsi="Arial" w:cs="Arial"/>
          <w:bCs/>
          <w:szCs w:val="24"/>
        </w:rPr>
        <w:t>R</w:t>
      </w:r>
      <w:r w:rsidR="00F56514" w:rsidRPr="00F56514">
        <w:rPr>
          <w:rFonts w:ascii="Arial" w:hAnsi="Arial" w:cs="Arial"/>
          <w:bCs/>
          <w:szCs w:val="24"/>
        </w:rPr>
        <w:t xml:space="preserve"> na základě přesných geodetických podkladů. Stávající vymezení formou </w:t>
      </w:r>
      <w:r w:rsidR="00F56514">
        <w:rPr>
          <w:rFonts w:ascii="Arial" w:hAnsi="Arial" w:cs="Arial"/>
          <w:bCs/>
          <w:szCs w:val="24"/>
        </w:rPr>
        <w:t xml:space="preserve">uvedení </w:t>
      </w:r>
      <w:r w:rsidR="00385F72">
        <w:rPr>
          <w:rFonts w:ascii="Arial" w:hAnsi="Arial" w:cs="Arial"/>
          <w:bCs/>
          <w:szCs w:val="24"/>
        </w:rPr>
        <w:t xml:space="preserve">části </w:t>
      </w:r>
      <w:r w:rsidR="00F56514">
        <w:rPr>
          <w:rFonts w:ascii="Arial" w:hAnsi="Arial" w:cs="Arial"/>
          <w:bCs/>
          <w:szCs w:val="24"/>
        </w:rPr>
        <w:t>dotčeného pozemku</w:t>
      </w:r>
      <w:r w:rsidR="00F56514" w:rsidRPr="00F56514">
        <w:rPr>
          <w:rFonts w:ascii="Arial" w:hAnsi="Arial" w:cs="Arial"/>
          <w:bCs/>
          <w:szCs w:val="24"/>
        </w:rPr>
        <w:t xml:space="preserve"> </w:t>
      </w:r>
      <w:r w:rsidR="00385F72">
        <w:rPr>
          <w:rFonts w:ascii="Arial" w:hAnsi="Arial" w:cs="Arial"/>
          <w:bCs/>
          <w:szCs w:val="24"/>
        </w:rPr>
        <w:t xml:space="preserve">a části dotčených lesních oddělení bez jejich bližší specifikace </w:t>
      </w:r>
      <w:r w:rsidR="00F56514" w:rsidRPr="00F56514">
        <w:rPr>
          <w:rFonts w:ascii="Arial" w:hAnsi="Arial" w:cs="Arial"/>
          <w:bCs/>
          <w:szCs w:val="24"/>
        </w:rPr>
        <w:t>je nejednoznačné a v praxi působí potíže.</w:t>
      </w:r>
      <w:r w:rsidR="00E42A1A">
        <w:rPr>
          <w:rFonts w:ascii="Arial" w:hAnsi="Arial" w:cs="Arial"/>
          <w:bCs/>
          <w:szCs w:val="24"/>
        </w:rPr>
        <w:t xml:space="preserve"> Zároveň ve zřizovacím předpisu není dostatečně specifikován předmět ochrany.</w:t>
      </w:r>
    </w:p>
    <w:p w:rsidR="00966C12" w:rsidRDefault="00966C12" w:rsidP="00966C12">
      <w:pPr>
        <w:pStyle w:val="Seznam2"/>
        <w:spacing w:after="120"/>
        <w:ind w:left="0" w:firstLine="0"/>
        <w:contextualSpacing w:val="0"/>
        <w:jc w:val="both"/>
        <w:rPr>
          <w:rFonts w:ascii="Arial" w:hAnsi="Arial" w:cs="Arial"/>
          <w:bCs/>
          <w:szCs w:val="24"/>
        </w:rPr>
      </w:pPr>
      <w:r w:rsidRPr="00966C12">
        <w:rPr>
          <w:rFonts w:ascii="Arial" w:hAnsi="Arial" w:cs="Arial"/>
          <w:bCs/>
          <w:szCs w:val="24"/>
        </w:rPr>
        <w:t>Přírodní rezervace Mrhatina se nachází na jihovýchodním úbočí Javořice mezi přírodní památkou Horní Nekolov a přírodní rezervací Štamberk a kamenné moře ve sníženině mezi kótami Široký kámen (771,2 m n.</w:t>
      </w:r>
      <w:r w:rsidR="003B1657">
        <w:rPr>
          <w:rFonts w:ascii="Arial" w:hAnsi="Arial" w:cs="Arial"/>
          <w:bCs/>
          <w:szCs w:val="24"/>
        </w:rPr>
        <w:t xml:space="preserve"> </w:t>
      </w:r>
      <w:r w:rsidRPr="00966C12">
        <w:rPr>
          <w:rFonts w:ascii="Arial" w:hAnsi="Arial" w:cs="Arial"/>
          <w:bCs/>
          <w:szCs w:val="24"/>
        </w:rPr>
        <w:t>m.) a kótou Vrch (726,1 m n.</w:t>
      </w:r>
      <w:r w:rsidR="003B1657">
        <w:rPr>
          <w:rFonts w:ascii="Arial" w:hAnsi="Arial" w:cs="Arial"/>
          <w:bCs/>
          <w:szCs w:val="24"/>
        </w:rPr>
        <w:t xml:space="preserve"> </w:t>
      </w:r>
      <w:r w:rsidRPr="00966C12">
        <w:rPr>
          <w:rFonts w:ascii="Arial" w:hAnsi="Arial" w:cs="Arial"/>
          <w:bCs/>
          <w:szCs w:val="24"/>
        </w:rPr>
        <w:t>m.) 1,7 km jihozápadně od obce Řásná. Je tvořena v převážné části acidofilní bučinou se smrkem. Autochtonní smrky ve věku nad 160 let postupně odumřely v průběhu posledních několika let v důsledku dlouhotrvajícího sucha a napadení kůrovcem a větrnou disturbancí v roce 2013.</w:t>
      </w:r>
    </w:p>
    <w:p w:rsidR="00BB719D" w:rsidRDefault="00BB719D" w:rsidP="00BB719D">
      <w:pPr>
        <w:pStyle w:val="Seznam2"/>
        <w:spacing w:before="120"/>
        <w:ind w:left="0" w:firstLine="0"/>
        <w:jc w:val="both"/>
        <w:rPr>
          <w:rFonts w:ascii="Arial" w:hAnsi="Arial" w:cs="Arial"/>
          <w:iCs/>
          <w:szCs w:val="24"/>
        </w:rPr>
      </w:pPr>
      <w:r w:rsidRPr="006E68A2">
        <w:rPr>
          <w:rFonts w:ascii="Arial" w:hAnsi="Arial" w:cs="Arial"/>
          <w:iCs/>
          <w:szCs w:val="24"/>
        </w:rPr>
        <w:t xml:space="preserve">Z botanického pohledu je území cenné zejména vegetačně, jelikož představuje jeden ze zachovalých fragmentů lesních společenstev původního druhového složení ve vyšších polohách masivu Javořice, reprezentující typickou ukázku podhorských acidofilních bučin (sv. </w:t>
      </w:r>
      <w:r w:rsidRPr="00BB719D">
        <w:rPr>
          <w:rFonts w:ascii="Arial" w:hAnsi="Arial" w:cs="Arial"/>
          <w:i/>
          <w:iCs/>
          <w:szCs w:val="24"/>
        </w:rPr>
        <w:t>Luzulo-Fagion sylvaticae</w:t>
      </w:r>
      <w:r w:rsidRPr="006E68A2">
        <w:rPr>
          <w:rFonts w:ascii="Arial" w:hAnsi="Arial" w:cs="Arial"/>
          <w:iCs/>
          <w:szCs w:val="24"/>
        </w:rPr>
        <w:t>, as</w:t>
      </w:r>
      <w:r w:rsidR="003B1657">
        <w:rPr>
          <w:rFonts w:ascii="Arial" w:hAnsi="Arial" w:cs="Arial"/>
          <w:iCs/>
          <w:szCs w:val="24"/>
        </w:rPr>
        <w:t>.</w:t>
      </w:r>
      <w:r w:rsidRPr="00BB719D">
        <w:rPr>
          <w:rFonts w:ascii="Arial" w:hAnsi="Arial" w:cs="Arial"/>
          <w:i/>
          <w:iCs/>
          <w:szCs w:val="24"/>
        </w:rPr>
        <w:t xml:space="preserve"> Luzulo luzuloidis-Fagetum sylvaticae</w:t>
      </w:r>
      <w:r w:rsidRPr="006E68A2">
        <w:rPr>
          <w:rFonts w:ascii="Arial" w:hAnsi="Arial" w:cs="Arial"/>
          <w:iCs/>
          <w:szCs w:val="24"/>
        </w:rPr>
        <w:t>.</w:t>
      </w:r>
    </w:p>
    <w:p w:rsidR="0029464C" w:rsidRDefault="006E68A2" w:rsidP="00B1731C">
      <w:pPr>
        <w:pStyle w:val="Seznam2"/>
        <w:spacing w:before="120" w:after="0"/>
        <w:ind w:left="0" w:firstLine="0"/>
        <w:jc w:val="both"/>
        <w:rPr>
          <w:rFonts w:ascii="Arial" w:hAnsi="Arial" w:cs="Arial"/>
          <w:iCs/>
          <w:szCs w:val="24"/>
        </w:rPr>
      </w:pPr>
      <w:r w:rsidRPr="006E68A2">
        <w:rPr>
          <w:rFonts w:ascii="Arial" w:hAnsi="Arial" w:cs="Arial"/>
          <w:iCs/>
          <w:szCs w:val="24"/>
        </w:rPr>
        <w:t xml:space="preserve">Z floristického pohledu se jedná o území druhově </w:t>
      </w:r>
      <w:r w:rsidR="00DF10CD">
        <w:rPr>
          <w:rFonts w:ascii="Arial" w:hAnsi="Arial" w:cs="Arial"/>
          <w:iCs/>
          <w:szCs w:val="24"/>
        </w:rPr>
        <w:t>spíše</w:t>
      </w:r>
      <w:r w:rsidRPr="006E68A2">
        <w:rPr>
          <w:rFonts w:ascii="Arial" w:hAnsi="Arial" w:cs="Arial"/>
          <w:iCs/>
          <w:szCs w:val="24"/>
        </w:rPr>
        <w:t xml:space="preserve"> chudé se zastoupením běžných acidofytů vázaných na lesní prostředí vyšších poloh v místech podloží silně kyselých tvrdých hornin. Stromové patro tvoří jednoduchá kombinace obvyklých dřevin s významným zastoupením buku lesního (</w:t>
      </w:r>
      <w:r w:rsidRPr="006E68A2">
        <w:rPr>
          <w:rFonts w:ascii="Arial" w:hAnsi="Arial" w:cs="Arial"/>
          <w:i/>
          <w:iCs/>
          <w:szCs w:val="24"/>
        </w:rPr>
        <w:t>Fagus sylvatica</w:t>
      </w:r>
      <w:r w:rsidRPr="006E68A2">
        <w:rPr>
          <w:rFonts w:ascii="Arial" w:hAnsi="Arial" w:cs="Arial"/>
          <w:iCs/>
          <w:szCs w:val="24"/>
        </w:rPr>
        <w:t>), původně místy významně zastoupený smrk (</w:t>
      </w:r>
      <w:r w:rsidRPr="006E68A2">
        <w:rPr>
          <w:rFonts w:ascii="Arial" w:hAnsi="Arial" w:cs="Arial"/>
          <w:i/>
          <w:iCs/>
          <w:szCs w:val="24"/>
        </w:rPr>
        <w:t>Picea abies</w:t>
      </w:r>
      <w:r w:rsidRPr="006E68A2">
        <w:rPr>
          <w:rFonts w:ascii="Arial" w:hAnsi="Arial" w:cs="Arial"/>
          <w:iCs/>
          <w:szCs w:val="24"/>
        </w:rPr>
        <w:t>) odumřel v důsledku kůrovcové kalamity a je přítomen v jednotlivých přežívajících jedincích nebo ve formě mladého zmlazení nebo suchých torz a ležících kmenů. Příměs dalších dřevin je aktuálně spíše okrajová, jedná se zejména o břízu (</w:t>
      </w:r>
      <w:r w:rsidRPr="006E68A2">
        <w:rPr>
          <w:rFonts w:ascii="Arial" w:hAnsi="Arial" w:cs="Arial"/>
          <w:i/>
          <w:iCs/>
          <w:szCs w:val="24"/>
        </w:rPr>
        <w:t>Betula pendula</w:t>
      </w:r>
      <w:r w:rsidRPr="006E68A2">
        <w:rPr>
          <w:rFonts w:ascii="Arial" w:hAnsi="Arial" w:cs="Arial"/>
          <w:iCs/>
          <w:szCs w:val="24"/>
        </w:rPr>
        <w:t xml:space="preserve">), jeřáb </w:t>
      </w:r>
      <w:r w:rsidRPr="006E68A2">
        <w:rPr>
          <w:rFonts w:ascii="Arial" w:hAnsi="Arial" w:cs="Arial"/>
          <w:iCs/>
          <w:szCs w:val="24"/>
        </w:rPr>
        <w:lastRenderedPageBreak/>
        <w:t>(</w:t>
      </w:r>
      <w:r w:rsidRPr="006E68A2">
        <w:rPr>
          <w:rFonts w:ascii="Arial" w:hAnsi="Arial" w:cs="Arial"/>
          <w:i/>
          <w:iCs/>
          <w:szCs w:val="24"/>
        </w:rPr>
        <w:t>Sorbus aucuparia</w:t>
      </w:r>
      <w:r w:rsidRPr="006E68A2">
        <w:rPr>
          <w:rFonts w:ascii="Arial" w:hAnsi="Arial" w:cs="Arial"/>
          <w:iCs/>
          <w:szCs w:val="24"/>
        </w:rPr>
        <w:t>), borovici (</w:t>
      </w:r>
      <w:r w:rsidRPr="006E68A2">
        <w:rPr>
          <w:rFonts w:ascii="Arial" w:hAnsi="Arial" w:cs="Arial"/>
          <w:i/>
          <w:iCs/>
          <w:szCs w:val="24"/>
        </w:rPr>
        <w:t>Pinus sylvestris</w:t>
      </w:r>
      <w:r w:rsidRPr="006E68A2">
        <w:rPr>
          <w:rFonts w:ascii="Arial" w:hAnsi="Arial" w:cs="Arial"/>
          <w:iCs/>
          <w:szCs w:val="24"/>
        </w:rPr>
        <w:t>), jedli (</w:t>
      </w:r>
      <w:r w:rsidRPr="006E68A2">
        <w:rPr>
          <w:rFonts w:ascii="Arial" w:hAnsi="Arial" w:cs="Arial"/>
          <w:i/>
          <w:iCs/>
          <w:szCs w:val="24"/>
        </w:rPr>
        <w:t>Abies alba</w:t>
      </w:r>
      <w:r w:rsidRPr="006E68A2">
        <w:rPr>
          <w:rFonts w:ascii="Arial" w:hAnsi="Arial" w:cs="Arial"/>
          <w:iCs/>
          <w:szCs w:val="24"/>
        </w:rPr>
        <w:t>) a modřín (</w:t>
      </w:r>
      <w:r w:rsidRPr="006E68A2">
        <w:rPr>
          <w:rFonts w:ascii="Arial" w:hAnsi="Arial" w:cs="Arial"/>
          <w:i/>
          <w:iCs/>
          <w:szCs w:val="24"/>
        </w:rPr>
        <w:t>Larix decidua</w:t>
      </w:r>
      <w:r w:rsidRPr="006E68A2">
        <w:rPr>
          <w:rFonts w:ascii="Arial" w:hAnsi="Arial" w:cs="Arial"/>
          <w:iCs/>
          <w:szCs w:val="24"/>
        </w:rPr>
        <w:t>). Keřové patro, pokud je v porostech zastoupeno, tak jej tvoří zejména zmlazení lesních dřevin</w:t>
      </w:r>
    </w:p>
    <w:p w:rsidR="00966C12" w:rsidRDefault="006E68A2" w:rsidP="008B3052">
      <w:pPr>
        <w:pStyle w:val="Seznam2"/>
        <w:spacing w:before="120"/>
        <w:ind w:left="0" w:firstLine="0"/>
        <w:jc w:val="both"/>
        <w:rPr>
          <w:rFonts w:ascii="Arial" w:hAnsi="Arial" w:cs="Arial"/>
          <w:iCs/>
          <w:szCs w:val="24"/>
        </w:rPr>
      </w:pPr>
      <w:r w:rsidRPr="006E68A2">
        <w:rPr>
          <w:rFonts w:ascii="Arial" w:hAnsi="Arial" w:cs="Arial"/>
          <w:iCs/>
          <w:szCs w:val="24"/>
        </w:rPr>
        <w:t>Bylinné patro je vyvinuté velmi omezeně, což je pro vzrostlé a zapojené porosty acidofilních bučin poměrně typické. Ostrůvkovitě, zejména na prosvětlených místech se objevuje borůvka (</w:t>
      </w:r>
      <w:r w:rsidRPr="006E68A2">
        <w:rPr>
          <w:rFonts w:ascii="Arial" w:hAnsi="Arial" w:cs="Arial"/>
          <w:i/>
          <w:iCs/>
          <w:szCs w:val="24"/>
        </w:rPr>
        <w:t>Vaccinium myrtillus</w:t>
      </w:r>
      <w:r w:rsidRPr="006E68A2">
        <w:rPr>
          <w:rFonts w:ascii="Arial" w:hAnsi="Arial" w:cs="Arial"/>
          <w:iCs/>
          <w:szCs w:val="24"/>
        </w:rPr>
        <w:t>), ostřice kulkonosná (</w:t>
      </w:r>
      <w:r w:rsidRPr="006E68A2">
        <w:rPr>
          <w:rFonts w:ascii="Arial" w:hAnsi="Arial" w:cs="Arial"/>
          <w:i/>
          <w:iCs/>
          <w:szCs w:val="24"/>
        </w:rPr>
        <w:t>Carex pilulifera</w:t>
      </w:r>
      <w:r w:rsidRPr="006E68A2">
        <w:rPr>
          <w:rFonts w:ascii="Arial" w:hAnsi="Arial" w:cs="Arial"/>
          <w:iCs/>
          <w:szCs w:val="24"/>
        </w:rPr>
        <w:t>), šťavel kyselý (</w:t>
      </w:r>
      <w:r w:rsidRPr="006E68A2">
        <w:rPr>
          <w:rFonts w:ascii="Arial" w:hAnsi="Arial" w:cs="Arial"/>
          <w:i/>
          <w:iCs/>
          <w:szCs w:val="24"/>
        </w:rPr>
        <w:t>Oxalis acetosella</w:t>
      </w:r>
      <w:r w:rsidRPr="006E68A2">
        <w:rPr>
          <w:rFonts w:ascii="Arial" w:hAnsi="Arial" w:cs="Arial"/>
          <w:iCs/>
          <w:szCs w:val="24"/>
        </w:rPr>
        <w:t>), případně kapraď rozložená (</w:t>
      </w:r>
      <w:r w:rsidRPr="006E68A2">
        <w:rPr>
          <w:rFonts w:ascii="Arial" w:hAnsi="Arial" w:cs="Arial"/>
          <w:i/>
          <w:iCs/>
          <w:szCs w:val="24"/>
        </w:rPr>
        <w:t>Dryopteris dilatata</w:t>
      </w:r>
      <w:r w:rsidRPr="006E68A2">
        <w:rPr>
          <w:rFonts w:ascii="Arial" w:hAnsi="Arial" w:cs="Arial"/>
          <w:iCs/>
          <w:szCs w:val="24"/>
        </w:rPr>
        <w:t>) nebo pstroček dvoulistý (</w:t>
      </w:r>
      <w:r w:rsidRPr="006E68A2">
        <w:rPr>
          <w:rFonts w:ascii="Arial" w:hAnsi="Arial" w:cs="Arial"/>
          <w:i/>
          <w:iCs/>
          <w:szCs w:val="24"/>
        </w:rPr>
        <w:t>Maianthemum bifolium</w:t>
      </w:r>
      <w:r w:rsidRPr="006E68A2">
        <w:rPr>
          <w:rFonts w:ascii="Arial" w:hAnsi="Arial" w:cs="Arial"/>
          <w:iCs/>
          <w:szCs w:val="24"/>
        </w:rPr>
        <w:t>).</w:t>
      </w:r>
      <w:r w:rsidR="00CC567D">
        <w:rPr>
          <w:rFonts w:ascii="Arial" w:hAnsi="Arial" w:cs="Arial"/>
          <w:iCs/>
          <w:szCs w:val="24"/>
        </w:rPr>
        <w:t xml:space="preserve"> </w:t>
      </w:r>
      <w:r w:rsidRPr="006E68A2">
        <w:rPr>
          <w:rFonts w:ascii="Arial" w:hAnsi="Arial" w:cs="Arial"/>
          <w:iCs/>
          <w:szCs w:val="24"/>
        </w:rPr>
        <w:t>Vzhledem k likvidaci kůrovcové kalamity jsou v okrajových částech lokality přítomné menší paseky po těžbě odumřelých smrků anebo plochy se sníženým zakmeněním v důsledku výběru napadeného smrku z porostů. Z tohoto důvodu se zde začínají šířit typické elementy pasekové vegetace. Nápadný je zejména výskyt starčku lepkavého (</w:t>
      </w:r>
      <w:r w:rsidRPr="006E68A2">
        <w:rPr>
          <w:rFonts w:ascii="Arial" w:hAnsi="Arial" w:cs="Arial"/>
          <w:i/>
          <w:iCs/>
          <w:szCs w:val="24"/>
        </w:rPr>
        <w:t>Senecio viscossus</w:t>
      </w:r>
      <w:r w:rsidRPr="006E68A2">
        <w:rPr>
          <w:rFonts w:ascii="Arial" w:hAnsi="Arial" w:cs="Arial"/>
          <w:iCs/>
          <w:szCs w:val="24"/>
        </w:rPr>
        <w:t>) a náprstníku červeného (</w:t>
      </w:r>
      <w:r w:rsidRPr="006E68A2">
        <w:rPr>
          <w:rFonts w:ascii="Arial" w:hAnsi="Arial" w:cs="Arial"/>
          <w:i/>
          <w:iCs/>
          <w:szCs w:val="24"/>
        </w:rPr>
        <w:t>Digitalis purpurea</w:t>
      </w:r>
      <w:r w:rsidR="00CC567D">
        <w:rPr>
          <w:rFonts w:ascii="Arial" w:hAnsi="Arial" w:cs="Arial"/>
          <w:iCs/>
          <w:szCs w:val="24"/>
        </w:rPr>
        <w:t>).</w:t>
      </w:r>
    </w:p>
    <w:p w:rsidR="00CC567D" w:rsidRDefault="00CC567D" w:rsidP="008B3052">
      <w:pPr>
        <w:pStyle w:val="Seznam2"/>
        <w:spacing w:before="120"/>
        <w:ind w:left="0" w:firstLine="0"/>
        <w:jc w:val="both"/>
        <w:rPr>
          <w:rFonts w:ascii="Arial" w:hAnsi="Arial" w:cs="Arial"/>
          <w:iCs/>
          <w:szCs w:val="24"/>
        </w:rPr>
      </w:pPr>
    </w:p>
    <w:p w:rsidR="00CC567D" w:rsidRPr="00CC567D" w:rsidRDefault="00CC567D" w:rsidP="00CC567D">
      <w:pPr>
        <w:pStyle w:val="Seznam2"/>
        <w:spacing w:before="120"/>
        <w:ind w:left="0" w:firstLine="0"/>
        <w:jc w:val="both"/>
        <w:rPr>
          <w:rFonts w:ascii="Arial" w:hAnsi="Arial" w:cs="Arial"/>
          <w:iCs/>
          <w:szCs w:val="24"/>
        </w:rPr>
      </w:pPr>
      <w:r w:rsidRPr="00CC567D">
        <w:rPr>
          <w:rFonts w:ascii="Arial" w:hAnsi="Arial" w:cs="Arial"/>
          <w:iCs/>
          <w:szCs w:val="24"/>
        </w:rPr>
        <w:t xml:space="preserve">Data o mykobiotě lokality pochází z orientačního průzkumu studentů PřF JU v Českých Budějovicích pod vedením M. Vašutové (Forejt et al. 2022). Průzkum byl primárně zaměřen na vzrostlý bukový porost, který tvoří větší část PR. Celkově lze lokalitu označit za spíše sušší. Největší diverzita hub byla nalezena na trouchnivějícím dřevě buků, kde byly zaznamenány i některé vzácné a indikačně významné druhy. </w:t>
      </w:r>
    </w:p>
    <w:p w:rsidR="00CC567D" w:rsidRPr="00CC567D" w:rsidRDefault="00CC567D" w:rsidP="00CC567D">
      <w:pPr>
        <w:pStyle w:val="Seznam2"/>
        <w:spacing w:before="120"/>
        <w:ind w:left="0" w:firstLine="0"/>
        <w:jc w:val="both"/>
        <w:rPr>
          <w:rFonts w:ascii="Arial" w:hAnsi="Arial" w:cs="Arial"/>
          <w:iCs/>
          <w:szCs w:val="24"/>
        </w:rPr>
      </w:pPr>
      <w:r w:rsidRPr="00CC567D">
        <w:rPr>
          <w:rFonts w:ascii="Arial" w:hAnsi="Arial" w:cs="Arial"/>
          <w:iCs/>
          <w:szCs w:val="24"/>
        </w:rPr>
        <w:t xml:space="preserve">Dominantní skupinu hub </w:t>
      </w:r>
      <w:r>
        <w:rPr>
          <w:rFonts w:ascii="Arial" w:hAnsi="Arial" w:cs="Arial"/>
          <w:iCs/>
          <w:szCs w:val="24"/>
        </w:rPr>
        <w:t>tvoří</w:t>
      </w:r>
      <w:r w:rsidRPr="00CC567D">
        <w:rPr>
          <w:rFonts w:ascii="Arial" w:hAnsi="Arial" w:cs="Arial"/>
          <w:iCs/>
          <w:szCs w:val="24"/>
        </w:rPr>
        <w:t xml:space="preserve"> druhy saprotrofické (především lignikolní). Důvodem přítomnosti lignikolních druhů v rezervaci </w:t>
      </w:r>
      <w:r>
        <w:rPr>
          <w:rFonts w:ascii="Arial" w:hAnsi="Arial" w:cs="Arial"/>
          <w:iCs/>
          <w:szCs w:val="24"/>
        </w:rPr>
        <w:t>je</w:t>
      </w:r>
      <w:r w:rsidRPr="00CC567D">
        <w:rPr>
          <w:rFonts w:ascii="Arial" w:hAnsi="Arial" w:cs="Arial"/>
          <w:iCs/>
          <w:szCs w:val="24"/>
        </w:rPr>
        <w:t xml:space="preserve"> schopnost ležící dřevní hmoty držet vláhu i během náročnějších klimatických podmínek. Význam ležících bukových kmenů je z mykologického hlediska stěžejní a bezesporu stojí za mírou diverzity. Z druhů uvedených v Červeném seznamu makromycetů ČR stojí za zmínku korálovec jedlový (</w:t>
      </w:r>
      <w:r w:rsidRPr="00CC567D">
        <w:rPr>
          <w:rFonts w:ascii="Arial" w:hAnsi="Arial" w:cs="Arial"/>
          <w:i/>
          <w:iCs/>
          <w:szCs w:val="24"/>
        </w:rPr>
        <w:t>Hericium alpestre</w:t>
      </w:r>
      <w:r w:rsidRPr="00CC567D">
        <w:rPr>
          <w:rFonts w:ascii="Arial" w:hAnsi="Arial" w:cs="Arial"/>
          <w:iCs/>
          <w:szCs w:val="24"/>
        </w:rPr>
        <w:t>), který lze v hojném množství najít n</w:t>
      </w:r>
      <w:r>
        <w:rPr>
          <w:rFonts w:ascii="Arial" w:hAnsi="Arial" w:cs="Arial"/>
          <w:iCs/>
          <w:szCs w:val="24"/>
        </w:rPr>
        <w:t xml:space="preserve">a dřevě buku v centru rezervace. </w:t>
      </w:r>
      <w:r w:rsidRPr="00CC567D">
        <w:rPr>
          <w:rFonts w:ascii="Arial" w:hAnsi="Arial" w:cs="Arial"/>
          <w:iCs/>
          <w:szCs w:val="24"/>
        </w:rPr>
        <w:t>Bylo nalezeno i šest druhů indikačně významných (</w:t>
      </w:r>
      <w:r w:rsidRPr="00CC567D">
        <w:rPr>
          <w:rFonts w:ascii="Arial" w:hAnsi="Arial" w:cs="Arial"/>
          <w:i/>
          <w:iCs/>
          <w:szCs w:val="24"/>
        </w:rPr>
        <w:t>Amanita citrina, Cantharellus tubaeformis, Hericium alpestre, Boletus edulis, Russula nigricans, Russula ochroleuca</w:t>
      </w:r>
      <w:r w:rsidRPr="00CC567D">
        <w:rPr>
          <w:rFonts w:ascii="Arial" w:hAnsi="Arial" w:cs="Arial"/>
          <w:iCs/>
          <w:szCs w:val="24"/>
        </w:rPr>
        <w:t>)</w:t>
      </w:r>
      <w:r>
        <w:rPr>
          <w:rFonts w:ascii="Arial" w:hAnsi="Arial" w:cs="Arial"/>
          <w:iCs/>
          <w:szCs w:val="24"/>
        </w:rPr>
        <w:t>.</w:t>
      </w:r>
    </w:p>
    <w:p w:rsidR="00CC567D" w:rsidRPr="00CC567D" w:rsidRDefault="00CC567D" w:rsidP="00CA5910">
      <w:pPr>
        <w:pStyle w:val="Seznam2"/>
        <w:spacing w:before="120"/>
        <w:ind w:left="0" w:firstLine="0"/>
        <w:jc w:val="both"/>
        <w:rPr>
          <w:rFonts w:ascii="Arial" w:hAnsi="Arial" w:cs="Arial"/>
          <w:iCs/>
          <w:szCs w:val="24"/>
        </w:rPr>
      </w:pPr>
      <w:r w:rsidRPr="00CC567D">
        <w:rPr>
          <w:rFonts w:ascii="Arial" w:hAnsi="Arial" w:cs="Arial"/>
          <w:iCs/>
          <w:szCs w:val="24"/>
        </w:rPr>
        <w:t>Detailní průzkum fauny na lokalitě nebyl dosud prováděn. Tato část Řásenské vrchoviny je dlouhodobě sledována pouze jako významná ornitologická lokalita.</w:t>
      </w:r>
      <w:r w:rsidR="002D72C3">
        <w:rPr>
          <w:rFonts w:ascii="Arial" w:hAnsi="Arial" w:cs="Arial"/>
          <w:iCs/>
          <w:szCs w:val="24"/>
        </w:rPr>
        <w:t xml:space="preserve"> </w:t>
      </w:r>
      <w:r w:rsidRPr="00CC567D">
        <w:rPr>
          <w:rFonts w:ascii="Arial" w:hAnsi="Arial" w:cs="Arial"/>
          <w:iCs/>
          <w:szCs w:val="24"/>
        </w:rPr>
        <w:t>V období 2013–2022 bylo na území Přírodní rezervace Mrhatina zjištěno celkem 40 druhů ptáků, načež hnízdění (možné, pravděpodobné nebo prokázané) bylo předpokládáno u 32 z nich. Charakteristickou součástí avifauny PR Mrhatina jsou ptáci hnízdící v dutinách. Hnízdí zde třeba několik druhů šplhavců</w:t>
      </w:r>
      <w:r w:rsidR="002D72C3">
        <w:rPr>
          <w:rFonts w:ascii="Arial" w:hAnsi="Arial" w:cs="Arial"/>
          <w:iCs/>
          <w:szCs w:val="24"/>
        </w:rPr>
        <w:t xml:space="preserve"> např. datel černý (</w:t>
      </w:r>
      <w:r w:rsidR="002D72C3" w:rsidRPr="002D72C3">
        <w:rPr>
          <w:rFonts w:ascii="Arial" w:hAnsi="Arial" w:cs="Arial"/>
          <w:i/>
          <w:iCs/>
          <w:szCs w:val="24"/>
        </w:rPr>
        <w:t>Dryocopus martius</w:t>
      </w:r>
      <w:r w:rsidR="002D72C3">
        <w:rPr>
          <w:rFonts w:ascii="Arial" w:hAnsi="Arial" w:cs="Arial"/>
          <w:iCs/>
          <w:szCs w:val="24"/>
        </w:rPr>
        <w:t>), žluna šedá (</w:t>
      </w:r>
      <w:r w:rsidR="002D72C3" w:rsidRPr="002D72C3">
        <w:rPr>
          <w:rFonts w:ascii="Arial" w:hAnsi="Arial" w:cs="Arial"/>
          <w:i/>
          <w:iCs/>
          <w:szCs w:val="24"/>
        </w:rPr>
        <w:t>Picu</w:t>
      </w:r>
      <w:r w:rsidR="002D72C3">
        <w:rPr>
          <w:rFonts w:ascii="Arial" w:hAnsi="Arial" w:cs="Arial"/>
          <w:i/>
          <w:iCs/>
          <w:szCs w:val="24"/>
        </w:rPr>
        <w:t>s</w:t>
      </w:r>
      <w:r w:rsidR="002D72C3" w:rsidRPr="002D72C3">
        <w:rPr>
          <w:rFonts w:ascii="Arial" w:hAnsi="Arial" w:cs="Arial"/>
          <w:i/>
          <w:iCs/>
          <w:szCs w:val="24"/>
        </w:rPr>
        <w:t xml:space="preserve"> canus</w:t>
      </w:r>
      <w:r w:rsidR="002D72C3">
        <w:rPr>
          <w:rFonts w:ascii="Arial" w:hAnsi="Arial" w:cs="Arial"/>
          <w:iCs/>
          <w:szCs w:val="24"/>
        </w:rPr>
        <w:t>), datlík tříprstý (</w:t>
      </w:r>
      <w:r w:rsidR="002D72C3" w:rsidRPr="002D72C3">
        <w:rPr>
          <w:rFonts w:ascii="Arial" w:hAnsi="Arial" w:cs="Arial"/>
          <w:i/>
          <w:iCs/>
          <w:szCs w:val="24"/>
        </w:rPr>
        <w:t>Picoides tridactylus</w:t>
      </w:r>
      <w:r w:rsidR="002D72C3">
        <w:rPr>
          <w:rFonts w:ascii="Arial" w:hAnsi="Arial" w:cs="Arial"/>
          <w:iCs/>
          <w:szCs w:val="24"/>
        </w:rPr>
        <w:t>).</w:t>
      </w:r>
      <w:r w:rsidRPr="00CC567D">
        <w:rPr>
          <w:rFonts w:ascii="Arial" w:hAnsi="Arial" w:cs="Arial"/>
          <w:iCs/>
          <w:szCs w:val="24"/>
        </w:rPr>
        <w:t xml:space="preserve"> Podobně jako</w:t>
      </w:r>
      <w:r w:rsidR="002D72C3">
        <w:rPr>
          <w:rFonts w:ascii="Arial" w:hAnsi="Arial" w:cs="Arial"/>
          <w:iCs/>
          <w:szCs w:val="24"/>
        </w:rPr>
        <w:t xml:space="preserve"> blízká</w:t>
      </w:r>
      <w:r w:rsidRPr="00CC567D">
        <w:rPr>
          <w:rFonts w:ascii="Arial" w:hAnsi="Arial" w:cs="Arial"/>
          <w:iCs/>
          <w:szCs w:val="24"/>
        </w:rPr>
        <w:t xml:space="preserve"> PP Horní Nekolov i PR Mrhatina patří mezi významná hnízdiště silně ohroženého holuba doupňáka. Jeho hnízdní stavy zde čítaly až 6 párů. Přestárlé porosty s bohatou nabídkou různých typů dutin představují také ideální biotop pro sovy. Kromě běžného puštíka obecného </w:t>
      </w:r>
      <w:r w:rsidR="005369B8" w:rsidRPr="005369B8">
        <w:rPr>
          <w:rFonts w:ascii="Arial" w:hAnsi="Arial" w:cs="Arial"/>
          <w:i/>
          <w:iCs/>
          <w:szCs w:val="24"/>
        </w:rPr>
        <w:t>(Strix aluco</w:t>
      </w:r>
      <w:r w:rsidR="005369B8">
        <w:rPr>
          <w:rFonts w:ascii="Arial" w:hAnsi="Arial" w:cs="Arial"/>
          <w:iCs/>
          <w:szCs w:val="24"/>
        </w:rPr>
        <w:t xml:space="preserve">) </w:t>
      </w:r>
      <w:r w:rsidRPr="00CC567D">
        <w:rPr>
          <w:rFonts w:ascii="Arial" w:hAnsi="Arial" w:cs="Arial"/>
          <w:iCs/>
          <w:szCs w:val="24"/>
        </w:rPr>
        <w:t xml:space="preserve">byl na území přírodní rezervace zastižen i zvláště chráněný sýc rousný </w:t>
      </w:r>
      <w:r w:rsidR="005369B8">
        <w:rPr>
          <w:rFonts w:ascii="Arial" w:hAnsi="Arial" w:cs="Arial"/>
          <w:iCs/>
          <w:szCs w:val="24"/>
        </w:rPr>
        <w:t>(</w:t>
      </w:r>
      <w:r w:rsidR="005369B8" w:rsidRPr="005369B8">
        <w:rPr>
          <w:rFonts w:ascii="Arial" w:hAnsi="Arial" w:cs="Arial"/>
          <w:i/>
          <w:iCs/>
          <w:szCs w:val="24"/>
        </w:rPr>
        <w:t>Aegolius funereus</w:t>
      </w:r>
      <w:r w:rsidR="005369B8">
        <w:rPr>
          <w:rFonts w:ascii="Arial" w:hAnsi="Arial" w:cs="Arial"/>
          <w:iCs/>
          <w:szCs w:val="24"/>
        </w:rPr>
        <w:t xml:space="preserve">) </w:t>
      </w:r>
      <w:r w:rsidRPr="00CC567D">
        <w:rPr>
          <w:rFonts w:ascii="Arial" w:hAnsi="Arial" w:cs="Arial"/>
          <w:iCs/>
          <w:szCs w:val="24"/>
        </w:rPr>
        <w:t>a kulíšek nejmenší</w:t>
      </w:r>
      <w:r w:rsidR="005369B8">
        <w:rPr>
          <w:rFonts w:ascii="Arial" w:hAnsi="Arial" w:cs="Arial"/>
          <w:iCs/>
          <w:szCs w:val="24"/>
        </w:rPr>
        <w:t xml:space="preserve"> (</w:t>
      </w:r>
      <w:r w:rsidR="005369B8" w:rsidRPr="005369B8">
        <w:rPr>
          <w:rFonts w:ascii="Arial" w:hAnsi="Arial" w:cs="Arial"/>
          <w:i/>
          <w:iCs/>
          <w:szCs w:val="24"/>
        </w:rPr>
        <w:t>Glaucidium passerinum</w:t>
      </w:r>
      <w:r w:rsidR="005369B8">
        <w:rPr>
          <w:rFonts w:ascii="Arial" w:hAnsi="Arial" w:cs="Arial"/>
          <w:iCs/>
          <w:szCs w:val="24"/>
        </w:rPr>
        <w:t>)</w:t>
      </w:r>
      <w:r w:rsidRPr="00CC567D">
        <w:rPr>
          <w:rFonts w:ascii="Arial" w:hAnsi="Arial" w:cs="Arial"/>
          <w:iCs/>
          <w:szCs w:val="24"/>
        </w:rPr>
        <w:t xml:space="preserve">. Hnízdění posledně jmenovaného druhu bylo prokázáno v roce 2017 pozorováním vyvedené rodinky při severovýchodním okraji rezervace. Četné skalní výchozy a mrazové sruby pak </w:t>
      </w:r>
      <w:r w:rsidR="002D72C3">
        <w:rPr>
          <w:rFonts w:ascii="Arial" w:hAnsi="Arial" w:cs="Arial"/>
          <w:iCs/>
          <w:szCs w:val="24"/>
        </w:rPr>
        <w:t>jsou</w:t>
      </w:r>
      <w:r w:rsidRPr="00CC567D">
        <w:rPr>
          <w:rFonts w:ascii="Arial" w:hAnsi="Arial" w:cs="Arial"/>
          <w:iCs/>
          <w:szCs w:val="24"/>
        </w:rPr>
        <w:t xml:space="preserve"> pravidelným hnízdištěm výra</w:t>
      </w:r>
      <w:r w:rsidR="002D72C3">
        <w:rPr>
          <w:rFonts w:ascii="Arial" w:hAnsi="Arial" w:cs="Arial"/>
          <w:iCs/>
          <w:szCs w:val="24"/>
        </w:rPr>
        <w:t xml:space="preserve"> velkého</w:t>
      </w:r>
      <w:r w:rsidR="005369B8">
        <w:rPr>
          <w:rFonts w:ascii="Arial" w:hAnsi="Arial" w:cs="Arial"/>
          <w:iCs/>
          <w:szCs w:val="24"/>
        </w:rPr>
        <w:t xml:space="preserve"> (</w:t>
      </w:r>
      <w:r w:rsidR="005369B8" w:rsidRPr="00CA5910">
        <w:rPr>
          <w:rFonts w:ascii="Arial" w:hAnsi="Arial" w:cs="Arial"/>
          <w:i/>
          <w:iCs/>
          <w:szCs w:val="24"/>
        </w:rPr>
        <w:t>Bubo bubo</w:t>
      </w:r>
      <w:r w:rsidR="005369B8">
        <w:rPr>
          <w:rFonts w:ascii="Arial" w:hAnsi="Arial" w:cs="Arial"/>
          <w:iCs/>
          <w:szCs w:val="24"/>
        </w:rPr>
        <w:t>)</w:t>
      </w:r>
      <w:r w:rsidR="002D72C3">
        <w:rPr>
          <w:rFonts w:ascii="Arial" w:hAnsi="Arial" w:cs="Arial"/>
          <w:iCs/>
          <w:szCs w:val="24"/>
        </w:rPr>
        <w:t>.</w:t>
      </w:r>
      <w:r w:rsidR="00CA5910">
        <w:rPr>
          <w:rFonts w:ascii="Arial" w:hAnsi="Arial" w:cs="Arial"/>
          <w:iCs/>
          <w:szCs w:val="24"/>
        </w:rPr>
        <w:t xml:space="preserve"> </w:t>
      </w:r>
      <w:r w:rsidRPr="00CC567D">
        <w:rPr>
          <w:rFonts w:ascii="Arial" w:hAnsi="Arial" w:cs="Arial"/>
          <w:iCs/>
          <w:szCs w:val="24"/>
        </w:rPr>
        <w:t xml:space="preserve">Z dalších zvláště chráněných druhů byl na lokalitě v hnízdním období pozorován čáp černý, včelojed lesní, krahujec obecný, jestřáb lesní, orel mořský nebo krkavec velký. </w:t>
      </w:r>
    </w:p>
    <w:p w:rsidR="00D97D58" w:rsidRDefault="00D97D58" w:rsidP="00CC567D">
      <w:pPr>
        <w:pStyle w:val="Seznam2"/>
        <w:spacing w:before="120"/>
        <w:ind w:left="0" w:firstLine="0"/>
        <w:jc w:val="both"/>
        <w:rPr>
          <w:rFonts w:ascii="Arial" w:hAnsi="Arial" w:cs="Arial"/>
          <w:iCs/>
          <w:szCs w:val="24"/>
        </w:rPr>
      </w:pPr>
    </w:p>
    <w:p w:rsidR="00966C12" w:rsidRDefault="00CA5910" w:rsidP="00CC567D">
      <w:pPr>
        <w:pStyle w:val="Seznam2"/>
        <w:spacing w:before="120"/>
        <w:ind w:left="0" w:firstLine="0"/>
        <w:jc w:val="both"/>
        <w:rPr>
          <w:rFonts w:ascii="Arial" w:hAnsi="Arial" w:cs="Arial"/>
          <w:iCs/>
          <w:szCs w:val="24"/>
        </w:rPr>
      </w:pPr>
      <w:r w:rsidRPr="00CC567D">
        <w:rPr>
          <w:rFonts w:ascii="Arial" w:hAnsi="Arial" w:cs="Arial"/>
          <w:iCs/>
          <w:szCs w:val="24"/>
        </w:rPr>
        <w:t>Z hlediska bezobratlých je významná zejména saproxylická fauna vázaná na odumírající dřevo. Zjištěno bylo několik regionálně významných druhů zachovalých bučin, zejména druhy vázané na buk nebo dřevokazné houby</w:t>
      </w:r>
      <w:r>
        <w:rPr>
          <w:rFonts w:ascii="Arial" w:hAnsi="Arial" w:cs="Arial"/>
          <w:iCs/>
          <w:szCs w:val="24"/>
        </w:rPr>
        <w:t xml:space="preserve">. </w:t>
      </w:r>
      <w:r w:rsidR="00CC567D" w:rsidRPr="00CC567D">
        <w:rPr>
          <w:rFonts w:ascii="Arial" w:hAnsi="Arial" w:cs="Arial"/>
          <w:iCs/>
          <w:szCs w:val="24"/>
        </w:rPr>
        <w:t xml:space="preserve">Z pohledu orientačního průzkumu entomofauny provedeného v r. 2022 (V. Křivan) a v databázích dostupných dat se jedná o velmi významnou lokalitu v regionu s řadou ohrožených druhů saproxylických brouků. Na lokalitě bylo zjištěno několik ohrožených a indikačně významných druhů zachovalých bučin, smíšených nebo suťových podhorských lesů, např. tesařík </w:t>
      </w:r>
      <w:r w:rsidR="00CC567D" w:rsidRPr="00CC567D">
        <w:rPr>
          <w:rFonts w:ascii="Arial" w:hAnsi="Arial" w:cs="Arial"/>
          <w:i/>
          <w:iCs/>
          <w:szCs w:val="24"/>
        </w:rPr>
        <w:t xml:space="preserve">(Stictoleptura scutellata), </w:t>
      </w:r>
      <w:r w:rsidR="00CC567D" w:rsidRPr="00CC567D">
        <w:rPr>
          <w:rFonts w:ascii="Arial" w:hAnsi="Arial" w:cs="Arial"/>
          <w:iCs/>
          <w:szCs w:val="24"/>
        </w:rPr>
        <w:t>lesák rumělkový (</w:t>
      </w:r>
      <w:r w:rsidR="00CC567D" w:rsidRPr="00CC567D">
        <w:rPr>
          <w:rFonts w:ascii="Arial" w:hAnsi="Arial" w:cs="Arial"/>
          <w:i/>
          <w:iCs/>
          <w:szCs w:val="24"/>
        </w:rPr>
        <w:t>Cucujus cannaberinus</w:t>
      </w:r>
      <w:r w:rsidR="00CC567D" w:rsidRPr="00CC567D">
        <w:rPr>
          <w:rFonts w:ascii="Arial" w:hAnsi="Arial" w:cs="Arial"/>
          <w:iCs/>
          <w:szCs w:val="24"/>
        </w:rPr>
        <w:t xml:space="preserve">), potemník </w:t>
      </w:r>
      <w:r w:rsidR="00CC567D" w:rsidRPr="00CC567D">
        <w:rPr>
          <w:rFonts w:ascii="Arial" w:hAnsi="Arial" w:cs="Arial"/>
          <w:i/>
          <w:iCs/>
          <w:szCs w:val="24"/>
        </w:rPr>
        <w:t xml:space="preserve">(Allecula morio), </w:t>
      </w:r>
      <w:r w:rsidR="00CC567D" w:rsidRPr="00CC567D">
        <w:rPr>
          <w:rFonts w:ascii="Arial" w:hAnsi="Arial" w:cs="Arial"/>
          <w:iCs/>
          <w:szCs w:val="24"/>
        </w:rPr>
        <w:t>pýchavkovník (</w:t>
      </w:r>
      <w:r w:rsidR="00CC567D" w:rsidRPr="00CC567D">
        <w:rPr>
          <w:rFonts w:ascii="Arial" w:hAnsi="Arial" w:cs="Arial"/>
          <w:i/>
          <w:iCs/>
          <w:szCs w:val="24"/>
        </w:rPr>
        <w:t>Endomychus coccineus), Mycetophagus fulvicollis, Mycetophagus piceus.</w:t>
      </w:r>
      <w:r w:rsidR="00CC567D" w:rsidRPr="00CC567D">
        <w:rPr>
          <w:rFonts w:ascii="Arial" w:hAnsi="Arial" w:cs="Arial"/>
          <w:iCs/>
          <w:szCs w:val="24"/>
        </w:rPr>
        <w:t>.</w:t>
      </w:r>
    </w:p>
    <w:p w:rsidR="00A71458" w:rsidRPr="00594D5B" w:rsidRDefault="00A71458" w:rsidP="00A71458">
      <w:pPr>
        <w:spacing w:after="0" w:line="276" w:lineRule="auto"/>
        <w:jc w:val="both"/>
        <w:rPr>
          <w:rFonts w:ascii="Arial" w:hAnsi="Arial" w:cs="Arial"/>
          <w:b/>
          <w:bCs/>
        </w:rPr>
      </w:pPr>
      <w:r w:rsidRPr="00594D5B">
        <w:rPr>
          <w:rFonts w:ascii="Arial" w:hAnsi="Arial" w:cs="Arial"/>
          <w:b/>
          <w:bCs/>
        </w:rPr>
        <w:lastRenderedPageBreak/>
        <w:t xml:space="preserve">Ochranné pásmo: </w:t>
      </w:r>
    </w:p>
    <w:p w:rsidR="00A86918" w:rsidRDefault="00A86918" w:rsidP="00A86918">
      <w:pPr>
        <w:pStyle w:val="Seznam2"/>
        <w:ind w:left="0" w:firstLine="0"/>
        <w:jc w:val="both"/>
        <w:rPr>
          <w:rFonts w:ascii="Arial" w:hAnsi="Arial" w:cs="Arial"/>
          <w:bCs/>
          <w:iCs/>
          <w:szCs w:val="16"/>
        </w:rPr>
      </w:pPr>
    </w:p>
    <w:p w:rsidR="00A86918" w:rsidRDefault="00A86918" w:rsidP="00A86918">
      <w:pPr>
        <w:pStyle w:val="Seznam2"/>
        <w:ind w:left="0" w:firstLine="0"/>
        <w:jc w:val="both"/>
        <w:rPr>
          <w:rFonts w:ascii="Arial" w:hAnsi="Arial" w:cs="Arial"/>
          <w:bCs/>
          <w:iCs/>
          <w:szCs w:val="16"/>
        </w:rPr>
      </w:pPr>
      <w:r w:rsidRPr="00175BDA">
        <w:rPr>
          <w:rFonts w:ascii="Arial" w:hAnsi="Arial" w:cs="Arial"/>
          <w:bCs/>
          <w:iCs/>
          <w:szCs w:val="16"/>
        </w:rPr>
        <w:t xml:space="preserve">Ochranné pásmo </w:t>
      </w:r>
      <w:r>
        <w:rPr>
          <w:rFonts w:ascii="Arial" w:hAnsi="Arial" w:cs="Arial"/>
          <w:bCs/>
          <w:iCs/>
          <w:szCs w:val="16"/>
        </w:rPr>
        <w:t>nebude vyhlašováno</w:t>
      </w:r>
      <w:r w:rsidRPr="00175BDA">
        <w:rPr>
          <w:rFonts w:ascii="Arial" w:hAnsi="Arial" w:cs="Arial"/>
          <w:bCs/>
          <w:iCs/>
          <w:szCs w:val="16"/>
        </w:rPr>
        <w:t xml:space="preserve">, </w:t>
      </w:r>
      <w:r>
        <w:rPr>
          <w:rFonts w:ascii="Arial" w:hAnsi="Arial" w:cs="Arial"/>
          <w:bCs/>
          <w:iCs/>
          <w:szCs w:val="16"/>
        </w:rPr>
        <w:t>bude</w:t>
      </w:r>
      <w:r w:rsidRPr="00175BDA">
        <w:rPr>
          <w:rFonts w:ascii="Arial" w:hAnsi="Arial" w:cs="Arial"/>
          <w:bCs/>
          <w:iCs/>
          <w:szCs w:val="16"/>
        </w:rPr>
        <w:t xml:space="preserve"> jím tedy dle § 37 zákona č. 114/1992 Sb. pás do vzdálenosti 50 m od hranice ZCHÚ.</w:t>
      </w:r>
    </w:p>
    <w:p w:rsidR="00A86918" w:rsidRDefault="00A86918" w:rsidP="007D5FAE">
      <w:pPr>
        <w:pStyle w:val="Default"/>
        <w:rPr>
          <w:b/>
          <w:bCs/>
          <w:sz w:val="22"/>
          <w:szCs w:val="22"/>
        </w:rPr>
      </w:pPr>
    </w:p>
    <w:p w:rsidR="007D5FAE" w:rsidRPr="00594D5B" w:rsidRDefault="007D5FAE" w:rsidP="007D5FAE">
      <w:pPr>
        <w:pStyle w:val="Default"/>
        <w:rPr>
          <w:sz w:val="22"/>
          <w:szCs w:val="22"/>
        </w:rPr>
      </w:pPr>
      <w:r w:rsidRPr="00594D5B">
        <w:rPr>
          <w:b/>
          <w:bCs/>
          <w:sz w:val="22"/>
          <w:szCs w:val="22"/>
        </w:rPr>
        <w:t xml:space="preserve">Přílohy: </w:t>
      </w:r>
    </w:p>
    <w:p w:rsidR="007D5FAE" w:rsidRPr="00594D5B" w:rsidRDefault="007D5FAE" w:rsidP="007D5FAE">
      <w:pPr>
        <w:pStyle w:val="Default"/>
        <w:rPr>
          <w:sz w:val="22"/>
          <w:szCs w:val="22"/>
        </w:rPr>
      </w:pPr>
      <w:r w:rsidRPr="00594D5B">
        <w:rPr>
          <w:sz w:val="22"/>
          <w:szCs w:val="22"/>
        </w:rPr>
        <w:t xml:space="preserve">1. Katastrální mapa s podrobným zákresem hranic </w:t>
      </w:r>
      <w:r w:rsidR="00A71458" w:rsidRPr="00594D5B">
        <w:rPr>
          <w:sz w:val="22"/>
          <w:szCs w:val="22"/>
        </w:rPr>
        <w:t>PP</w:t>
      </w:r>
      <w:r w:rsidRPr="00594D5B">
        <w:rPr>
          <w:sz w:val="22"/>
          <w:szCs w:val="22"/>
        </w:rPr>
        <w:t xml:space="preserve"> </w:t>
      </w:r>
    </w:p>
    <w:p w:rsidR="007D5FAE" w:rsidRPr="00594D5B" w:rsidRDefault="007D5FAE" w:rsidP="007D5FAE">
      <w:pPr>
        <w:pStyle w:val="KRUTEXTODSTAVCE"/>
        <w:spacing w:before="60"/>
        <w:jc w:val="both"/>
        <w:rPr>
          <w:szCs w:val="22"/>
        </w:rPr>
      </w:pPr>
      <w:bookmarkStart w:id="1" w:name="_GoBack"/>
      <w:bookmarkEnd w:id="1"/>
      <w:r w:rsidRPr="00594D5B">
        <w:rPr>
          <w:szCs w:val="22"/>
        </w:rPr>
        <w:t xml:space="preserve">2. Kopie základní mapy s orientačním zákresem hranic </w:t>
      </w:r>
      <w:r w:rsidR="00A71458" w:rsidRPr="00594D5B">
        <w:rPr>
          <w:szCs w:val="22"/>
        </w:rPr>
        <w:t>PP</w:t>
      </w:r>
      <w:r w:rsidRPr="00594D5B">
        <w:rPr>
          <w:szCs w:val="22"/>
        </w:rPr>
        <w:br w:type="page"/>
      </w:r>
    </w:p>
    <w:p w:rsidR="007D5FAE" w:rsidRDefault="005547C6" w:rsidP="007D5FAE">
      <w:pPr>
        <w:pStyle w:val="KRUTEXTODSTAVCE"/>
        <w:spacing w:before="60"/>
        <w:jc w:val="center"/>
        <w:rPr>
          <w:b/>
          <w:szCs w:val="22"/>
        </w:rPr>
      </w:pPr>
      <w:r w:rsidRPr="005547C6">
        <w:rPr>
          <w:b/>
          <w:noProof/>
          <w:szCs w:val="22"/>
        </w:rPr>
        <w:lastRenderedPageBreak/>
        <w:drawing>
          <wp:anchor distT="0" distB="0" distL="114300" distR="114300" simplePos="0" relativeHeight="251666432" behindDoc="1" locked="0" layoutInCell="1" allowOverlap="1">
            <wp:simplePos x="0" y="0"/>
            <wp:positionH relativeFrom="column">
              <wp:posOffset>-472412</wp:posOffset>
            </wp:positionH>
            <wp:positionV relativeFrom="paragraph">
              <wp:posOffset>-5274</wp:posOffset>
            </wp:positionV>
            <wp:extent cx="6808304" cy="9629495"/>
            <wp:effectExtent l="0" t="0" r="0" b="0"/>
            <wp:wrapNone/>
            <wp:docPr id="1" name="Obrázek 1" descr="C:\Users\janova\Desktop\Mrhatina\K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ova\Desktop\Mrhatina\K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23560" cy="96510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5FAE" w:rsidRPr="00594D5B">
        <w:rPr>
          <w:b/>
          <w:szCs w:val="22"/>
        </w:rPr>
        <w:t xml:space="preserve">Příloha č. 1: Katastrální mapa s podrobným zákresem hranic </w:t>
      </w:r>
      <w:r w:rsidR="00A71458" w:rsidRPr="00594D5B">
        <w:rPr>
          <w:b/>
          <w:szCs w:val="22"/>
        </w:rPr>
        <w:t>PP</w:t>
      </w:r>
    </w:p>
    <w:p w:rsidR="005547C6" w:rsidRPr="00594D5B" w:rsidRDefault="005547C6" w:rsidP="007D5FAE">
      <w:pPr>
        <w:pStyle w:val="KRUTEXTODSTAVCE"/>
        <w:spacing w:before="60"/>
        <w:jc w:val="center"/>
        <w:rPr>
          <w:b/>
          <w:szCs w:val="22"/>
        </w:rPr>
      </w:pPr>
    </w:p>
    <w:p w:rsidR="0018054B" w:rsidRPr="00594D5B" w:rsidRDefault="0018054B" w:rsidP="007D5FAE">
      <w:pPr>
        <w:pStyle w:val="KRUTEXTODSTAVCE"/>
        <w:spacing w:before="60"/>
        <w:jc w:val="both"/>
        <w:rPr>
          <w:szCs w:val="22"/>
        </w:rPr>
      </w:pPr>
      <w:r w:rsidRPr="00594D5B">
        <w:rPr>
          <w:szCs w:val="22"/>
        </w:rPr>
        <w:br w:type="page"/>
      </w:r>
    </w:p>
    <w:p w:rsidR="0018054B" w:rsidRPr="00594D5B" w:rsidRDefault="005547C6" w:rsidP="0018054B">
      <w:pPr>
        <w:pStyle w:val="KRUTEXTODSTAVCE"/>
        <w:spacing w:before="60"/>
        <w:jc w:val="center"/>
        <w:rPr>
          <w:b/>
          <w:szCs w:val="22"/>
        </w:rPr>
      </w:pPr>
      <w:r w:rsidRPr="005547C6">
        <w:rPr>
          <w:b/>
          <w:noProof/>
          <w:szCs w:val="22"/>
        </w:rPr>
        <w:lastRenderedPageBreak/>
        <w:drawing>
          <wp:anchor distT="0" distB="0" distL="114300" distR="114300" simplePos="0" relativeHeight="251667456" behindDoc="1" locked="0" layoutInCell="1" allowOverlap="1">
            <wp:simplePos x="0" y="0"/>
            <wp:positionH relativeFrom="column">
              <wp:posOffset>-482352</wp:posOffset>
            </wp:positionH>
            <wp:positionV relativeFrom="paragraph">
              <wp:posOffset>-5274</wp:posOffset>
            </wp:positionV>
            <wp:extent cx="6823434" cy="9650895"/>
            <wp:effectExtent l="0" t="0" r="0" b="7620"/>
            <wp:wrapNone/>
            <wp:docPr id="2" name="Obrázek 2" descr="C:\Users\janova\Desktop\Mrhatina\Z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nova\Desktop\Mrhatina\Z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34461" cy="9666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054B" w:rsidRPr="00594D5B">
        <w:rPr>
          <w:b/>
          <w:szCs w:val="22"/>
        </w:rPr>
        <w:t xml:space="preserve">Příloha č. 2: Kopie základní mapy s orientačním zákresem hranic </w:t>
      </w:r>
      <w:r w:rsidR="007A0B47" w:rsidRPr="00594D5B">
        <w:rPr>
          <w:b/>
          <w:szCs w:val="22"/>
        </w:rPr>
        <w:t>PP</w:t>
      </w:r>
    </w:p>
    <w:p w:rsidR="007D5FAE" w:rsidRPr="00594D5B" w:rsidRDefault="007D5FAE" w:rsidP="0018054B">
      <w:pPr>
        <w:pStyle w:val="KRUTEXTODSTAVCE"/>
        <w:spacing w:before="60"/>
        <w:rPr>
          <w:b/>
          <w:szCs w:val="22"/>
        </w:rPr>
      </w:pPr>
    </w:p>
    <w:sectPr w:rsidR="007D5FAE" w:rsidRPr="00594D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2EF" w:rsidRDefault="004962EF" w:rsidP="00882360">
      <w:pPr>
        <w:spacing w:after="0" w:line="240" w:lineRule="auto"/>
      </w:pPr>
      <w:r>
        <w:separator/>
      </w:r>
    </w:p>
  </w:endnote>
  <w:endnote w:type="continuationSeparator" w:id="0">
    <w:p w:rsidR="004962EF" w:rsidRDefault="004962EF" w:rsidP="0088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2EF" w:rsidRDefault="004962EF" w:rsidP="00882360">
      <w:pPr>
        <w:spacing w:after="0" w:line="240" w:lineRule="auto"/>
      </w:pPr>
      <w:r>
        <w:separator/>
      </w:r>
    </w:p>
  </w:footnote>
  <w:footnote w:type="continuationSeparator" w:id="0">
    <w:p w:rsidR="004962EF" w:rsidRDefault="004962EF" w:rsidP="008823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04889"/>
    <w:multiLevelType w:val="hybridMultilevel"/>
    <w:tmpl w:val="1241DA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FB7D52"/>
    <w:multiLevelType w:val="hybridMultilevel"/>
    <w:tmpl w:val="B2AE4440"/>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B3A6FDC"/>
    <w:multiLevelType w:val="hybridMultilevel"/>
    <w:tmpl w:val="24B457E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15:restartNumberingAfterBreak="0">
    <w:nsid w:val="4A7A76BE"/>
    <w:multiLevelType w:val="hybridMultilevel"/>
    <w:tmpl w:val="56E402CC"/>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4"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5" w15:restartNumberingAfterBreak="0">
    <w:nsid w:val="50CC5B71"/>
    <w:multiLevelType w:val="hybridMultilevel"/>
    <w:tmpl w:val="A536B0A2"/>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51FA1BE6"/>
    <w:multiLevelType w:val="hybridMultilevel"/>
    <w:tmpl w:val="14EAC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AA319AF"/>
    <w:multiLevelType w:val="hybridMultilevel"/>
    <w:tmpl w:val="5CEC31D2"/>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D3367F9"/>
    <w:multiLevelType w:val="hybridMultilevel"/>
    <w:tmpl w:val="636694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8"/>
  </w:num>
  <w:num w:numId="5">
    <w:abstractNumId w:val="5"/>
  </w:num>
  <w:num w:numId="6">
    <w:abstractNumId w:val="1"/>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189"/>
    <w:rsid w:val="000010F5"/>
    <w:rsid w:val="00003578"/>
    <w:rsid w:val="00004AF2"/>
    <w:rsid w:val="000061F5"/>
    <w:rsid w:val="00070D90"/>
    <w:rsid w:val="00095D51"/>
    <w:rsid w:val="00097552"/>
    <w:rsid w:val="000A7640"/>
    <w:rsid w:val="000B576B"/>
    <w:rsid w:val="000E0738"/>
    <w:rsid w:val="001142FC"/>
    <w:rsid w:val="00151FFA"/>
    <w:rsid w:val="001619D3"/>
    <w:rsid w:val="0018054B"/>
    <w:rsid w:val="00185F34"/>
    <w:rsid w:val="00190535"/>
    <w:rsid w:val="00192E85"/>
    <w:rsid w:val="001A16DF"/>
    <w:rsid w:val="001B7904"/>
    <w:rsid w:val="00244584"/>
    <w:rsid w:val="002477CD"/>
    <w:rsid w:val="002664F5"/>
    <w:rsid w:val="0029464C"/>
    <w:rsid w:val="002D72C3"/>
    <w:rsid w:val="002E650C"/>
    <w:rsid w:val="002F0ABB"/>
    <w:rsid w:val="00310152"/>
    <w:rsid w:val="00332399"/>
    <w:rsid w:val="00343DCC"/>
    <w:rsid w:val="003838C9"/>
    <w:rsid w:val="00384CCB"/>
    <w:rsid w:val="00385F72"/>
    <w:rsid w:val="003B1657"/>
    <w:rsid w:val="003B4048"/>
    <w:rsid w:val="003C0526"/>
    <w:rsid w:val="003E2C5E"/>
    <w:rsid w:val="003E4F73"/>
    <w:rsid w:val="004126BD"/>
    <w:rsid w:val="00427D0D"/>
    <w:rsid w:val="004962EF"/>
    <w:rsid w:val="004E023E"/>
    <w:rsid w:val="004E1823"/>
    <w:rsid w:val="004E26A3"/>
    <w:rsid w:val="004E4A5D"/>
    <w:rsid w:val="004E57A3"/>
    <w:rsid w:val="00503ACE"/>
    <w:rsid w:val="0051737C"/>
    <w:rsid w:val="005369B8"/>
    <w:rsid w:val="005547C6"/>
    <w:rsid w:val="005805DD"/>
    <w:rsid w:val="00590539"/>
    <w:rsid w:val="00594D5B"/>
    <w:rsid w:val="005D757D"/>
    <w:rsid w:val="005E4624"/>
    <w:rsid w:val="006037DF"/>
    <w:rsid w:val="00661D2F"/>
    <w:rsid w:val="006B0360"/>
    <w:rsid w:val="006E68A2"/>
    <w:rsid w:val="006E6FA7"/>
    <w:rsid w:val="006F7C40"/>
    <w:rsid w:val="007045EE"/>
    <w:rsid w:val="00722870"/>
    <w:rsid w:val="0073163C"/>
    <w:rsid w:val="007A0B47"/>
    <w:rsid w:val="007A5BB3"/>
    <w:rsid w:val="007C2B27"/>
    <w:rsid w:val="007C7EB1"/>
    <w:rsid w:val="007D56D3"/>
    <w:rsid w:val="007D5FAE"/>
    <w:rsid w:val="00834523"/>
    <w:rsid w:val="00856A5F"/>
    <w:rsid w:val="00861FF3"/>
    <w:rsid w:val="00882360"/>
    <w:rsid w:val="008B3052"/>
    <w:rsid w:val="008C445B"/>
    <w:rsid w:val="008E325B"/>
    <w:rsid w:val="00931900"/>
    <w:rsid w:val="00933189"/>
    <w:rsid w:val="009416A4"/>
    <w:rsid w:val="00966C12"/>
    <w:rsid w:val="009725AC"/>
    <w:rsid w:val="00976870"/>
    <w:rsid w:val="009B0D2F"/>
    <w:rsid w:val="009C383D"/>
    <w:rsid w:val="00A13722"/>
    <w:rsid w:val="00A21152"/>
    <w:rsid w:val="00A50208"/>
    <w:rsid w:val="00A71458"/>
    <w:rsid w:val="00A86918"/>
    <w:rsid w:val="00AC21CE"/>
    <w:rsid w:val="00B125B9"/>
    <w:rsid w:val="00B1731C"/>
    <w:rsid w:val="00B257A2"/>
    <w:rsid w:val="00B34BA2"/>
    <w:rsid w:val="00B6069A"/>
    <w:rsid w:val="00BB5431"/>
    <w:rsid w:val="00BB719D"/>
    <w:rsid w:val="00C1480B"/>
    <w:rsid w:val="00C2591C"/>
    <w:rsid w:val="00C34528"/>
    <w:rsid w:val="00C47FF1"/>
    <w:rsid w:val="00C9409B"/>
    <w:rsid w:val="00CA5910"/>
    <w:rsid w:val="00CC567D"/>
    <w:rsid w:val="00CF57BB"/>
    <w:rsid w:val="00D524AD"/>
    <w:rsid w:val="00D72B85"/>
    <w:rsid w:val="00D97D58"/>
    <w:rsid w:val="00DC3718"/>
    <w:rsid w:val="00DE1CAD"/>
    <w:rsid w:val="00DE4FCE"/>
    <w:rsid w:val="00DF10CD"/>
    <w:rsid w:val="00DF733F"/>
    <w:rsid w:val="00E42A1A"/>
    <w:rsid w:val="00EA0DDA"/>
    <w:rsid w:val="00EB47B4"/>
    <w:rsid w:val="00EE04A1"/>
    <w:rsid w:val="00F01203"/>
    <w:rsid w:val="00F50BFB"/>
    <w:rsid w:val="00F56514"/>
    <w:rsid w:val="00F920B4"/>
    <w:rsid w:val="00FB0AB1"/>
    <w:rsid w:val="00FB7FDB"/>
    <w:rsid w:val="00FC0394"/>
    <w:rsid w:val="00FE6E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05BB"/>
  <w15:chartTrackingRefBased/>
  <w15:docId w15:val="{AA3D45D8-8D1D-4FF3-B202-8ED2116C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33189"/>
    <w:pPr>
      <w:autoSpaceDE w:val="0"/>
      <w:autoSpaceDN w:val="0"/>
      <w:adjustRightInd w:val="0"/>
      <w:spacing w:after="0" w:line="240" w:lineRule="auto"/>
    </w:pPr>
    <w:rPr>
      <w:rFonts w:ascii="Arial" w:hAnsi="Arial" w:cs="Arial"/>
      <w:color w:val="000000"/>
      <w:sz w:val="24"/>
      <w:szCs w:val="24"/>
    </w:rPr>
  </w:style>
  <w:style w:type="paragraph" w:styleId="Odstavecseseznamem">
    <w:name w:val="List Paragraph"/>
    <w:basedOn w:val="Normln"/>
    <w:uiPriority w:val="34"/>
    <w:qFormat/>
    <w:rsid w:val="0051737C"/>
    <w:pPr>
      <w:ind w:left="720"/>
      <w:contextualSpacing/>
    </w:pPr>
  </w:style>
  <w:style w:type="paragraph" w:styleId="Seznam2">
    <w:name w:val="List 2"/>
    <w:basedOn w:val="Normln"/>
    <w:uiPriority w:val="99"/>
    <w:semiHidden/>
    <w:unhideWhenUsed/>
    <w:rsid w:val="00861FF3"/>
    <w:pPr>
      <w:ind w:left="566" w:hanging="283"/>
      <w:contextualSpacing/>
    </w:pPr>
  </w:style>
  <w:style w:type="paragraph" w:customStyle="1" w:styleId="KRUTEXTODSTAVCE">
    <w:name w:val="_KRU_TEXT_ODSTAVCE"/>
    <w:basedOn w:val="Normln"/>
    <w:rsid w:val="001B7904"/>
    <w:pPr>
      <w:spacing w:after="0" w:line="288" w:lineRule="auto"/>
    </w:pPr>
    <w:rPr>
      <w:rFonts w:ascii="Arial" w:eastAsia="Times New Roman" w:hAnsi="Arial" w:cs="Arial"/>
      <w:szCs w:val="24"/>
      <w:lang w:eastAsia="cs-CZ"/>
    </w:rPr>
  </w:style>
  <w:style w:type="paragraph" w:styleId="Zkladntext">
    <w:name w:val="Body Text"/>
    <w:basedOn w:val="Normln"/>
    <w:link w:val="ZkladntextChar"/>
    <w:uiPriority w:val="99"/>
    <w:semiHidden/>
    <w:unhideWhenUsed/>
    <w:rsid w:val="001B7904"/>
    <w:pPr>
      <w:spacing w:after="120"/>
    </w:pPr>
  </w:style>
  <w:style w:type="character" w:customStyle="1" w:styleId="ZkladntextChar">
    <w:name w:val="Základní text Char"/>
    <w:basedOn w:val="Standardnpsmoodstavce"/>
    <w:link w:val="Zkladntext"/>
    <w:uiPriority w:val="99"/>
    <w:semiHidden/>
    <w:rsid w:val="001B7904"/>
  </w:style>
  <w:style w:type="paragraph" w:styleId="Seznam">
    <w:name w:val="List"/>
    <w:basedOn w:val="Normln"/>
    <w:uiPriority w:val="99"/>
    <w:semiHidden/>
    <w:unhideWhenUsed/>
    <w:rsid w:val="00F920B4"/>
    <w:pPr>
      <w:ind w:left="283" w:hanging="283"/>
      <w:contextualSpacing/>
    </w:pPr>
  </w:style>
  <w:style w:type="paragraph" w:styleId="Textpoznpodarou">
    <w:name w:val="footnote text"/>
    <w:basedOn w:val="Normln"/>
    <w:link w:val="TextpoznpodarouChar"/>
    <w:uiPriority w:val="99"/>
    <w:semiHidden/>
    <w:unhideWhenUsed/>
    <w:rsid w:val="0088236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82360"/>
    <w:rPr>
      <w:sz w:val="20"/>
      <w:szCs w:val="20"/>
    </w:rPr>
  </w:style>
  <w:style w:type="character" w:styleId="Znakapoznpodarou">
    <w:name w:val="footnote reference"/>
    <w:basedOn w:val="Standardnpsmoodstavce"/>
    <w:uiPriority w:val="99"/>
    <w:semiHidden/>
    <w:unhideWhenUsed/>
    <w:rsid w:val="00882360"/>
    <w:rPr>
      <w:vertAlign w:val="superscript"/>
    </w:rPr>
  </w:style>
  <w:style w:type="paragraph" w:styleId="Textbubliny">
    <w:name w:val="Balloon Text"/>
    <w:basedOn w:val="Normln"/>
    <w:link w:val="TextbublinyChar"/>
    <w:uiPriority w:val="99"/>
    <w:semiHidden/>
    <w:unhideWhenUsed/>
    <w:rsid w:val="005805D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805DD"/>
    <w:rPr>
      <w:rFonts w:ascii="Segoe UI" w:hAnsi="Segoe UI" w:cs="Segoe UI"/>
      <w:sz w:val="18"/>
      <w:szCs w:val="18"/>
    </w:rPr>
  </w:style>
  <w:style w:type="table" w:styleId="Mkatabulky">
    <w:name w:val="Table Grid"/>
    <w:basedOn w:val="Normlntabulka"/>
    <w:uiPriority w:val="59"/>
    <w:rsid w:val="00722870"/>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989445">
      <w:bodyDiv w:val="1"/>
      <w:marLeft w:val="0"/>
      <w:marRight w:val="0"/>
      <w:marTop w:val="0"/>
      <w:marBottom w:val="0"/>
      <w:divBdr>
        <w:top w:val="none" w:sz="0" w:space="0" w:color="auto"/>
        <w:left w:val="none" w:sz="0" w:space="0" w:color="auto"/>
        <w:bottom w:val="none" w:sz="0" w:space="0" w:color="auto"/>
        <w:right w:val="none" w:sz="0" w:space="0" w:color="auto"/>
      </w:divBdr>
    </w:div>
    <w:div w:id="137974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03E2E-402C-4651-90A3-35A9F3E9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Pages>
  <Words>1818</Words>
  <Characters>10732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Ehrenbergerová Jana Mgr.</dc:creator>
  <cp:keywords/>
  <dc:description/>
  <cp:lastModifiedBy>Ehrenbergerová Jana Mgr.</cp:lastModifiedBy>
  <cp:revision>25</cp:revision>
  <cp:lastPrinted>2024-02-19T15:48:00Z</cp:lastPrinted>
  <dcterms:created xsi:type="dcterms:W3CDTF">2022-11-04T06:29:00Z</dcterms:created>
  <dcterms:modified xsi:type="dcterms:W3CDTF">2024-02-19T15:48:00Z</dcterms:modified>
</cp:coreProperties>
</file>