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C3" w:rsidRDefault="00D23B23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Územní správa sociálního zabezpečení pro Kraj Vysočina, Jihomoravský kraj a Zlínský kraj v roce 2024</w:t>
      </w:r>
    </w:p>
    <w:p w:rsidR="00D23B23" w:rsidRPr="002F4C8C" w:rsidRDefault="00D23B23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dložila 1 žádost.</w:t>
      </w:r>
    </w:p>
    <w:sectPr w:rsidR="00D23B2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23"/>
    <w:rsid w:val="002F4C8C"/>
    <w:rsid w:val="00602D0E"/>
    <w:rsid w:val="009A719D"/>
    <w:rsid w:val="00CC05C3"/>
    <w:rsid w:val="00D23B2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C1FD"/>
  <w15:chartTrackingRefBased/>
  <w15:docId w15:val="{96CC28D6-E003-4F86-BA5A-FAC69272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Jitka (ČSSZ XB)</dc:creator>
  <cp:keywords/>
  <dc:description/>
  <cp:lastModifiedBy>Holíková Jitka (ČSSZ XB)</cp:lastModifiedBy>
  <cp:revision>1</cp:revision>
  <dcterms:created xsi:type="dcterms:W3CDTF">2025-02-21T10:59:00Z</dcterms:created>
  <dcterms:modified xsi:type="dcterms:W3CDTF">2025-02-21T11:01:00Z</dcterms:modified>
</cp:coreProperties>
</file>