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C5" w:rsidRDefault="00DF2CC5" w:rsidP="00DF2CC5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Počet stížností podaných podle § 16a zákona č. 106/1999 Sb., důvody jejich podání a stručný popis způsobu jejich vyřízení - § 18 odst. 1 písm. e) zákona č. 106/1999 Sb.</w:t>
      </w:r>
    </w:p>
    <w:p w:rsidR="00DF2CC5" w:rsidRDefault="00DF2CC5" w:rsidP="00DF2CC5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Byla podána 1 stížnost, která byla podána z důvodu nesouhlasu s výší</w:t>
      </w:r>
      <w:r w:rsidRPr="002F00F0">
        <w:rPr>
          <w:rFonts w:ascii="Source Sans Pro" w:hAnsi="Source Sans Pro"/>
          <w:color w:val="404040"/>
        </w:rPr>
        <w:t xml:space="preserve"> úhrady n</w:t>
      </w:r>
      <w:r>
        <w:rPr>
          <w:rFonts w:ascii="Source Sans Pro" w:hAnsi="Source Sans Pro"/>
          <w:color w:val="404040"/>
        </w:rPr>
        <w:t xml:space="preserve">ákladů za poskytnutí informace </w:t>
      </w:r>
      <w:r w:rsidRPr="002F00F0">
        <w:rPr>
          <w:rFonts w:ascii="Source Sans Pro" w:hAnsi="Source Sans Pro"/>
          <w:color w:val="404040"/>
        </w:rPr>
        <w:t>podle zákona č. 106/1999 Sb.</w:t>
      </w:r>
      <w:r>
        <w:rPr>
          <w:rFonts w:ascii="Source Sans Pro" w:hAnsi="Source Sans Pro"/>
          <w:color w:val="404040"/>
        </w:rPr>
        <w:t>; stížnost byla postoupena nadřízenému orgánu (krajský úřad), který postoupil její vyřízení pro nepříslušnost Ministerstvu školství, mládeže a tělovýchovy, které do doby zpracování výroční zprávy nerozhodlo.</w:t>
      </w:r>
    </w:p>
    <w:p w:rsidR="00633163" w:rsidRDefault="00633163">
      <w:bookmarkStart w:id="0" w:name="_GoBack"/>
      <w:bookmarkEnd w:id="0"/>
    </w:p>
    <w:sectPr w:rsidR="0063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C5"/>
    <w:rsid w:val="00633163"/>
    <w:rsid w:val="00D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D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2C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D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2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Šantrochová Zuzana</dc:creator>
  <cp:lastModifiedBy>Šantrochová Zuzana</cp:lastModifiedBy>
  <cp:revision>1</cp:revision>
  <dcterms:created xsi:type="dcterms:W3CDTF">2025-03-05T07:51:00Z</dcterms:created>
  <dcterms:modified xsi:type="dcterms:W3CDTF">2025-03-05T07:51:00Z</dcterms:modified>
</cp:coreProperties>
</file>