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C5F0" w14:textId="59141698" w:rsidR="007801A6" w:rsidRPr="00083CD7" w:rsidRDefault="00EF6EB7" w:rsidP="00E45999">
      <w:pPr>
        <w:spacing w:after="120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083CD7">
        <w:rPr>
          <w:rFonts w:ascii="Arial" w:hAnsi="Arial" w:cs="Arial"/>
          <w:b/>
          <w:color w:val="auto"/>
          <w:sz w:val="36"/>
          <w:szCs w:val="36"/>
        </w:rPr>
        <w:t>VÝROČNÍ ZPRÁVA OBCE KŘEČHOŘ ZA ROK 202</w:t>
      </w:r>
      <w:r w:rsidR="00C77F84">
        <w:rPr>
          <w:rFonts w:ascii="Arial" w:hAnsi="Arial" w:cs="Arial"/>
          <w:b/>
          <w:color w:val="auto"/>
          <w:sz w:val="36"/>
          <w:szCs w:val="36"/>
        </w:rPr>
        <w:t>5</w:t>
      </w:r>
    </w:p>
    <w:p w14:paraId="09D16CAC" w14:textId="77777777" w:rsidR="00EF6EB7" w:rsidRPr="00083CD7" w:rsidRDefault="00EF6EB7" w:rsidP="00CA486B">
      <w:pPr>
        <w:spacing w:after="600"/>
        <w:jc w:val="center"/>
        <w:rPr>
          <w:rFonts w:ascii="Arial" w:hAnsi="Arial" w:cs="Arial"/>
          <w:color w:val="auto"/>
        </w:rPr>
      </w:pPr>
      <w:r w:rsidRPr="00083CD7">
        <w:rPr>
          <w:rFonts w:ascii="Arial" w:hAnsi="Arial" w:cs="Arial"/>
          <w:color w:val="auto"/>
        </w:rPr>
        <w:t>dle § 18 zákona č. 106/1999 Sb., o svobodném přístupu k informacím</w:t>
      </w:r>
    </w:p>
    <w:p w14:paraId="4242B177" w14:textId="77777777" w:rsidR="00EF6EB7" w:rsidRPr="00083CD7" w:rsidRDefault="00EF6EB7" w:rsidP="00EF6EB7">
      <w:pPr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Počet podaných žádostí o informace a počet vydaných rozhodnutí o odmítnutí žádosti</w:t>
      </w: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br/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(§ 18 odst. 1 písm. a) zákona č. 106/1999 Sb.)</w:t>
      </w:r>
    </w:p>
    <w:p w14:paraId="139EF7CD" w14:textId="727EF660" w:rsidR="00EF6EB7" w:rsidRPr="00083CD7" w:rsidRDefault="00EF6EB7" w:rsidP="00521C69">
      <w:pPr>
        <w:pStyle w:val="Odstavecseseznamem"/>
        <w:numPr>
          <w:ilvl w:val="0"/>
          <w:numId w:val="8"/>
        </w:numPr>
        <w:spacing w:after="360"/>
        <w:ind w:left="714" w:hanging="357"/>
        <w:rPr>
          <w:rFonts w:ascii="Arial" w:hAnsi="Arial" w:cs="Arial"/>
          <w:color w:val="auto"/>
          <w:sz w:val="20"/>
          <w:szCs w:val="20"/>
          <w:u w:val="none"/>
        </w:rPr>
      </w:pPr>
      <w:r w:rsidRPr="00083CD7">
        <w:rPr>
          <w:rFonts w:ascii="Arial" w:hAnsi="Arial" w:cs="Arial"/>
          <w:color w:val="auto"/>
          <w:sz w:val="20"/>
          <w:szCs w:val="20"/>
          <w:u w:val="none"/>
        </w:rPr>
        <w:t>V průběhu roku 202</w:t>
      </w:r>
      <w:r w:rsidR="00C77F84">
        <w:rPr>
          <w:rFonts w:ascii="Arial" w:hAnsi="Arial" w:cs="Arial"/>
          <w:color w:val="auto"/>
          <w:sz w:val="20"/>
          <w:szCs w:val="20"/>
          <w:u w:val="none"/>
        </w:rPr>
        <w:t>5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obec Křečhoř obdržela celkem </w:t>
      </w:r>
      <w:r w:rsidR="00C77F84">
        <w:rPr>
          <w:rFonts w:ascii="Arial" w:hAnsi="Arial" w:cs="Arial"/>
          <w:color w:val="auto"/>
          <w:sz w:val="20"/>
          <w:szCs w:val="20"/>
          <w:u w:val="none"/>
        </w:rPr>
        <w:t>0</w:t>
      </w:r>
      <w:r w:rsidR="00094D52"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písemn</w:t>
      </w:r>
      <w:r w:rsidR="005A497A">
        <w:rPr>
          <w:rFonts w:ascii="Arial" w:hAnsi="Arial" w:cs="Arial"/>
          <w:color w:val="auto"/>
          <w:sz w:val="20"/>
          <w:szCs w:val="20"/>
          <w:u w:val="none"/>
        </w:rPr>
        <w:t>ých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žádost</w:t>
      </w:r>
      <w:r w:rsidR="005A497A">
        <w:rPr>
          <w:rFonts w:ascii="Arial" w:hAnsi="Arial" w:cs="Arial"/>
          <w:color w:val="auto"/>
          <w:sz w:val="20"/>
          <w:szCs w:val="20"/>
          <w:u w:val="none"/>
        </w:rPr>
        <w:t>í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o poskytnutí informace a byl</w:t>
      </w:r>
      <w:r w:rsidR="00094D52" w:rsidRPr="00083CD7">
        <w:rPr>
          <w:rFonts w:ascii="Arial" w:hAnsi="Arial" w:cs="Arial"/>
          <w:color w:val="auto"/>
          <w:sz w:val="20"/>
          <w:szCs w:val="20"/>
          <w:u w:val="none"/>
        </w:rPr>
        <w:t>o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vydán</w:t>
      </w:r>
      <w:r w:rsidR="00094D52" w:rsidRPr="00083CD7">
        <w:rPr>
          <w:rFonts w:ascii="Arial" w:hAnsi="Arial" w:cs="Arial"/>
          <w:color w:val="auto"/>
          <w:sz w:val="20"/>
          <w:szCs w:val="20"/>
          <w:u w:val="none"/>
        </w:rPr>
        <w:t>o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celkem </w:t>
      </w:r>
      <w:r w:rsidR="00094D52" w:rsidRPr="00083CD7">
        <w:rPr>
          <w:rFonts w:ascii="Arial" w:hAnsi="Arial" w:cs="Arial"/>
          <w:color w:val="auto"/>
          <w:sz w:val="20"/>
          <w:szCs w:val="20"/>
          <w:u w:val="none"/>
        </w:rPr>
        <w:t>0</w:t>
      </w:r>
      <w:r w:rsidRPr="00083CD7">
        <w:rPr>
          <w:rFonts w:ascii="Arial" w:hAnsi="Arial" w:cs="Arial"/>
          <w:color w:val="auto"/>
          <w:sz w:val="20"/>
          <w:szCs w:val="20"/>
          <w:u w:val="none"/>
        </w:rPr>
        <w:t xml:space="preserve"> rozhodnutí o odmítnutí žádosti nebo její části.</w:t>
      </w:r>
    </w:p>
    <w:p w14:paraId="54953795" w14:textId="77777777" w:rsidR="00EF6EB7" w:rsidRPr="00083CD7" w:rsidRDefault="00EF6EB7" w:rsidP="00EF6EB7">
      <w:pPr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Počet podaných odvolání proti rozhodnutí o odmí</w:t>
      </w:r>
      <w:r w:rsidR="00E45999"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 xml:space="preserve">tnutí žádosti nebo její části </w:t>
      </w:r>
      <w:r w:rsidR="00E45999"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br/>
      </w:r>
      <w:r w:rsidR="00E45999"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</w:t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§ 18 odst. 1 písm. b) zákona č. 106/1999 Sb.</w:t>
      </w:r>
      <w:r w:rsidR="00E45999"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)</w:t>
      </w:r>
    </w:p>
    <w:p w14:paraId="7B822D3C" w14:textId="2BE01D9B" w:rsidR="00E45999" w:rsidRPr="00083CD7" w:rsidRDefault="00E45999" w:rsidP="00521C69">
      <w:pPr>
        <w:pStyle w:val="Odstavecseseznamem"/>
        <w:numPr>
          <w:ilvl w:val="0"/>
          <w:numId w:val="8"/>
        </w:numPr>
        <w:spacing w:after="360"/>
        <w:ind w:left="714" w:hanging="357"/>
        <w:rPr>
          <w:rFonts w:ascii="Arial" w:hAnsi="Arial" w:cs="Arial"/>
          <w:b/>
          <w:bCs/>
          <w:color w:val="auto"/>
          <w:sz w:val="21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color w:val="auto"/>
          <w:sz w:val="20"/>
          <w:u w:val="none"/>
        </w:rPr>
        <w:t>V průběhu roku 202</w:t>
      </w:r>
      <w:r w:rsidR="00C77F84">
        <w:rPr>
          <w:rFonts w:ascii="Arial" w:hAnsi="Arial" w:cs="Arial"/>
          <w:color w:val="auto"/>
          <w:sz w:val="20"/>
          <w:u w:val="none"/>
        </w:rPr>
        <w:t>5</w:t>
      </w:r>
      <w:r w:rsidRPr="00083CD7">
        <w:rPr>
          <w:rFonts w:ascii="Arial" w:hAnsi="Arial" w:cs="Arial"/>
          <w:color w:val="auto"/>
          <w:sz w:val="20"/>
          <w:u w:val="none"/>
        </w:rPr>
        <w:t xml:space="preserve"> </w:t>
      </w:r>
      <w:r w:rsidR="00094D52" w:rsidRPr="00083CD7">
        <w:rPr>
          <w:rFonts w:ascii="Arial" w:hAnsi="Arial" w:cs="Arial"/>
          <w:color w:val="auto"/>
          <w:sz w:val="20"/>
          <w:u w:val="none"/>
        </w:rPr>
        <w:t>nebylo</w:t>
      </w:r>
      <w:r w:rsidRPr="00083CD7">
        <w:rPr>
          <w:rFonts w:ascii="Arial" w:hAnsi="Arial" w:cs="Arial"/>
          <w:color w:val="auto"/>
          <w:sz w:val="20"/>
          <w:u w:val="none"/>
        </w:rPr>
        <w:t xml:space="preserve"> podán</w:t>
      </w:r>
      <w:r w:rsidR="00094D52" w:rsidRPr="00083CD7">
        <w:rPr>
          <w:rFonts w:ascii="Arial" w:hAnsi="Arial" w:cs="Arial"/>
          <w:color w:val="auto"/>
          <w:sz w:val="20"/>
          <w:u w:val="none"/>
        </w:rPr>
        <w:t xml:space="preserve">o </w:t>
      </w:r>
      <w:r w:rsidRPr="00083CD7">
        <w:rPr>
          <w:rFonts w:ascii="Arial" w:hAnsi="Arial" w:cs="Arial"/>
          <w:color w:val="auto"/>
          <w:sz w:val="20"/>
          <w:u w:val="none"/>
        </w:rPr>
        <w:t>odvolání proti rozhodnutí o odmítnutí žádosti</w:t>
      </w:r>
      <w:r w:rsidR="00B91A42" w:rsidRPr="00083CD7">
        <w:rPr>
          <w:rFonts w:ascii="Arial" w:hAnsi="Arial" w:cs="Arial"/>
          <w:color w:val="auto"/>
          <w:sz w:val="20"/>
          <w:u w:val="none"/>
        </w:rPr>
        <w:t>.</w:t>
      </w:r>
    </w:p>
    <w:p w14:paraId="4C0E5C65" w14:textId="77777777" w:rsidR="00E45999" w:rsidRPr="00083CD7" w:rsidRDefault="00E45999" w:rsidP="00E45999">
      <w:pPr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u w:val="none"/>
          <w:shd w:val="clear" w:color="auto" w:fill="FFFFFF"/>
        </w:rPr>
        <w:t>Opis podstatných částí každého rozsudku soudu</w:t>
      </w:r>
      <w:r w:rsidRPr="00083CD7"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br/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(§ 18 odst. 1 písm. c) zákona č. 106/1999 Sb.)</w:t>
      </w:r>
    </w:p>
    <w:p w14:paraId="5DFB636F" w14:textId="5BCDC043" w:rsidR="00E45999" w:rsidRPr="00083CD7" w:rsidRDefault="00E45999" w:rsidP="00521C69">
      <w:pPr>
        <w:pStyle w:val="Odstavecseseznamem"/>
        <w:numPr>
          <w:ilvl w:val="0"/>
          <w:numId w:val="8"/>
        </w:numPr>
        <w:spacing w:after="360"/>
        <w:ind w:left="714" w:hanging="357"/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V roce 202</w:t>
      </w:r>
      <w:r w:rsidR="00C77F84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5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soud nepřezkoumával žádné rozhodnutí o odmítnutí žádosti o poskytnutí informace</w:t>
      </w:r>
      <w:r w:rsidR="00521C69"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.</w:t>
      </w:r>
    </w:p>
    <w:p w14:paraId="102283E0" w14:textId="77777777" w:rsidR="00E45999" w:rsidRPr="00083CD7" w:rsidRDefault="00E45999" w:rsidP="00E45999">
      <w:pPr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u w:val="none"/>
          <w:shd w:val="clear" w:color="auto" w:fill="FFFFFF"/>
        </w:rPr>
        <w:t>Výčet poskytnutých výhradních licencí</w:t>
      </w:r>
      <w:r w:rsidRPr="00083CD7"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br/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(§ 18 odst. 1 písm. d) zákona č. 106/1999 Sb.)</w:t>
      </w:r>
    </w:p>
    <w:p w14:paraId="1729E718" w14:textId="15F80E52" w:rsidR="00E45999" w:rsidRPr="00083CD7" w:rsidRDefault="00E45999" w:rsidP="00521C69">
      <w:pPr>
        <w:pStyle w:val="Odstavecseseznamem"/>
        <w:numPr>
          <w:ilvl w:val="0"/>
          <w:numId w:val="8"/>
        </w:numPr>
        <w:spacing w:after="360"/>
        <w:ind w:left="714" w:hanging="357"/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V roce 202</w:t>
      </w:r>
      <w:r w:rsidR="00C77F84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5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nebyla poskytnuta žádná výhradní licence.</w:t>
      </w:r>
    </w:p>
    <w:p w14:paraId="3D933878" w14:textId="77777777" w:rsidR="001E4480" w:rsidRPr="00083CD7" w:rsidRDefault="001E4480" w:rsidP="001E4480">
      <w:pPr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Počet stížností podaných podle § 16a zákona č. 106/1999 Sb., důvody jejich podání a stručný popis způsobu jejich vyřízení</w:t>
      </w:r>
      <w:r w:rsidRPr="00083CD7"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br/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(§ 18 odst. 1 písm. e) zákona č. 106/1999 Sb.)</w:t>
      </w:r>
    </w:p>
    <w:p w14:paraId="53EA28A3" w14:textId="00BA3C60" w:rsidR="00CA486B" w:rsidRPr="00083CD7" w:rsidRDefault="001E4480" w:rsidP="00017620">
      <w:pPr>
        <w:pStyle w:val="Odstavecseseznamem"/>
        <w:numPr>
          <w:ilvl w:val="0"/>
          <w:numId w:val="8"/>
        </w:numPr>
        <w:spacing w:after="360" w:line="360" w:lineRule="auto"/>
        <w:ind w:left="714" w:hanging="357"/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V roce 202</w:t>
      </w:r>
      <w:r w:rsidR="00C77F84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5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</w:t>
      </w:r>
      <w:r w:rsidR="00094D52"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nebyla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podána </w:t>
      </w:r>
      <w:r w:rsidR="00094D52"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žádná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stížnost podle § 16a</w:t>
      </w:r>
      <w:r w:rsidR="00CA486B"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zákona č. 106/1999 Sb.</w:t>
      </w:r>
    </w:p>
    <w:p w14:paraId="1B73B307" w14:textId="77777777" w:rsidR="00CA486B" w:rsidRPr="00083CD7" w:rsidRDefault="00CA486B" w:rsidP="004C60A7">
      <w:pPr>
        <w:rPr>
          <w:rStyle w:val="Siln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</w:pPr>
      <w:r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Další informace vztahující s</w:t>
      </w:r>
      <w:r w:rsidR="004C60A7"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t>e k uplatňování tohoto zákona</w:t>
      </w:r>
      <w:r w:rsidR="004C60A7" w:rsidRPr="00083CD7">
        <w:rPr>
          <w:rStyle w:val="Siln"/>
          <w:rFonts w:ascii="Arial" w:hAnsi="Arial" w:cs="Arial"/>
          <w:color w:val="auto"/>
          <w:szCs w:val="21"/>
          <w:u w:val="none"/>
          <w:shd w:val="clear" w:color="auto" w:fill="FFFFFF"/>
        </w:rPr>
        <w:br/>
      </w:r>
      <w:r w:rsidR="004C60A7"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(</w:t>
      </w:r>
      <w:r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§ 18 odst. 1 písm. f) zákona č. 106/1999 Sb.</w:t>
      </w:r>
      <w:r w:rsidR="004C60A7" w:rsidRPr="00083CD7">
        <w:rPr>
          <w:rStyle w:val="Siln"/>
          <w:rFonts w:ascii="Arial" w:hAnsi="Arial" w:cs="Arial"/>
          <w:b w:val="0"/>
          <w:color w:val="auto"/>
          <w:sz w:val="20"/>
          <w:szCs w:val="21"/>
          <w:u w:val="none"/>
          <w:shd w:val="clear" w:color="auto" w:fill="FFFFFF"/>
        </w:rPr>
        <w:t>)</w:t>
      </w:r>
    </w:p>
    <w:p w14:paraId="40A7C9CB" w14:textId="4B75C27E" w:rsidR="00CA486B" w:rsidRPr="00083CD7" w:rsidRDefault="00094D52" w:rsidP="00CA486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Cs/>
          <w:i/>
          <w:color w:val="auto"/>
          <w:sz w:val="20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V roce 202</w:t>
      </w:r>
      <w:r w:rsidR="00C77F84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>5</w:t>
      </w:r>
      <w:r w:rsidRPr="00083CD7">
        <w:rPr>
          <w:rFonts w:ascii="Arial" w:hAnsi="Arial" w:cs="Arial"/>
          <w:bCs/>
          <w:color w:val="auto"/>
          <w:sz w:val="20"/>
          <w:szCs w:val="21"/>
          <w:u w:val="none"/>
          <w:shd w:val="clear" w:color="auto" w:fill="FFFFFF"/>
        </w:rPr>
        <w:t xml:space="preserve"> nebyly z pohledu žádostí o informace zaznamenány žádné zvláštnosti a mimořádnosti.</w:t>
      </w:r>
    </w:p>
    <w:p w14:paraId="7FF537B3" w14:textId="77777777" w:rsidR="002540BD" w:rsidRPr="00083CD7" w:rsidRDefault="002540BD" w:rsidP="002540BD">
      <w:pPr>
        <w:jc w:val="both"/>
        <w:rPr>
          <w:rFonts w:ascii="Arial" w:hAnsi="Arial" w:cs="Arial"/>
          <w:bCs/>
          <w:i/>
          <w:color w:val="auto"/>
          <w:sz w:val="21"/>
          <w:szCs w:val="21"/>
          <w:u w:val="none"/>
          <w:shd w:val="clear" w:color="auto" w:fill="FFFFFF"/>
        </w:rPr>
      </w:pPr>
    </w:p>
    <w:p w14:paraId="7D66CEC0" w14:textId="155B9C7A" w:rsidR="002540BD" w:rsidRPr="00083CD7" w:rsidRDefault="002540BD" w:rsidP="002540BD">
      <w:pPr>
        <w:jc w:val="both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V Křečhoři dne </w:t>
      </w:r>
      <w:r w:rsidR="00C77F84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12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. </w:t>
      </w:r>
      <w:r w:rsidR="00C77F84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1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. 202</w:t>
      </w:r>
      <w:r w:rsidR="00C77F84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6</w:t>
      </w:r>
    </w:p>
    <w:p w14:paraId="4B35DEC4" w14:textId="77777777" w:rsidR="00083CD7" w:rsidRDefault="00083CD7" w:rsidP="002540BD">
      <w:pPr>
        <w:spacing w:after="0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</w:p>
    <w:p w14:paraId="3234B8DC" w14:textId="77777777" w:rsidR="00083CD7" w:rsidRDefault="00083CD7" w:rsidP="002540BD">
      <w:pPr>
        <w:spacing w:after="0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</w:p>
    <w:p w14:paraId="6C169E59" w14:textId="0B14AB69" w:rsidR="002540BD" w:rsidRPr="00083CD7" w:rsidRDefault="002540BD" w:rsidP="002540BD">
      <w:pPr>
        <w:spacing w:after="0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5A497A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5A497A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671728"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Mgr. Michal Beneš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 v.r.</w:t>
      </w:r>
    </w:p>
    <w:p w14:paraId="3AC5AD40" w14:textId="054EB4EA" w:rsidR="002540BD" w:rsidRPr="00094D52" w:rsidRDefault="002540BD" w:rsidP="002540BD">
      <w:pPr>
        <w:jc w:val="both"/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</w:pP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: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    </w:t>
      </w:r>
      <w:r w:rsidR="005A497A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ab/>
      </w:r>
      <w:r w:rsid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   </w:t>
      </w:r>
      <w:r w:rsidR="005A497A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 xml:space="preserve">    </w:t>
      </w:r>
      <w:r w:rsidRPr="00083CD7">
        <w:rPr>
          <w:rFonts w:ascii="Arial" w:hAnsi="Arial" w:cs="Arial"/>
          <w:bCs/>
          <w:color w:val="auto"/>
          <w:szCs w:val="21"/>
          <w:u w:val="none"/>
          <w:shd w:val="clear" w:color="auto" w:fill="FFFFFF"/>
        </w:rPr>
        <w:t>starosta obce</w:t>
      </w:r>
    </w:p>
    <w:sectPr w:rsidR="002540BD" w:rsidRPr="0009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2B9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B4525B3"/>
    <w:multiLevelType w:val="hybridMultilevel"/>
    <w:tmpl w:val="0C683CCA"/>
    <w:lvl w:ilvl="0" w:tplc="AE86F3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8825">
    <w:abstractNumId w:val="0"/>
  </w:num>
  <w:num w:numId="2" w16cid:durableId="661355114">
    <w:abstractNumId w:val="0"/>
  </w:num>
  <w:num w:numId="3" w16cid:durableId="1418135321">
    <w:abstractNumId w:val="0"/>
  </w:num>
  <w:num w:numId="4" w16cid:durableId="1243635938">
    <w:abstractNumId w:val="0"/>
  </w:num>
  <w:num w:numId="5" w16cid:durableId="1431394154">
    <w:abstractNumId w:val="0"/>
  </w:num>
  <w:num w:numId="6" w16cid:durableId="173886994">
    <w:abstractNumId w:val="0"/>
  </w:num>
  <w:num w:numId="7" w16cid:durableId="1667241928">
    <w:abstractNumId w:val="0"/>
  </w:num>
  <w:num w:numId="8" w16cid:durableId="2122414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B7"/>
    <w:rsid w:val="00017620"/>
    <w:rsid w:val="00083CD7"/>
    <w:rsid w:val="00094D52"/>
    <w:rsid w:val="001E4480"/>
    <w:rsid w:val="002540BD"/>
    <w:rsid w:val="00346E31"/>
    <w:rsid w:val="004902C4"/>
    <w:rsid w:val="004C60A7"/>
    <w:rsid w:val="00521C69"/>
    <w:rsid w:val="00532D53"/>
    <w:rsid w:val="005A497A"/>
    <w:rsid w:val="0065587D"/>
    <w:rsid w:val="00671728"/>
    <w:rsid w:val="00683370"/>
    <w:rsid w:val="006E5BF3"/>
    <w:rsid w:val="007801A6"/>
    <w:rsid w:val="007C1789"/>
    <w:rsid w:val="007D313F"/>
    <w:rsid w:val="007E5929"/>
    <w:rsid w:val="00893B65"/>
    <w:rsid w:val="00964806"/>
    <w:rsid w:val="009B1063"/>
    <w:rsid w:val="00B91A42"/>
    <w:rsid w:val="00C77F84"/>
    <w:rsid w:val="00CA486B"/>
    <w:rsid w:val="00CE5E75"/>
    <w:rsid w:val="00E45999"/>
    <w:rsid w:val="00EF6EB7"/>
    <w:rsid w:val="00EF7119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379D"/>
  <w15:docId w15:val="{B5E3156A-9274-4C96-81F1-7D6F9A91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FF" w:themeColor="hyperlink"/>
        <w:sz w:val="22"/>
        <w:szCs w:val="22"/>
        <w:u w:val="single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3B65"/>
    <w:pPr>
      <w:keepNext/>
      <w:numPr>
        <w:numId w:val="7"/>
      </w:numPr>
      <w:spacing w:before="240" w:after="3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3B65"/>
    <w:pPr>
      <w:keepNext/>
      <w:numPr>
        <w:ilvl w:val="1"/>
        <w:numId w:val="7"/>
      </w:numPr>
      <w:spacing w:before="240" w:after="3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3B65"/>
    <w:pPr>
      <w:keepNext/>
      <w:numPr>
        <w:ilvl w:val="2"/>
        <w:numId w:val="7"/>
      </w:numPr>
      <w:spacing w:before="240" w:after="3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3B6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B65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B65"/>
    <w:pPr>
      <w:numPr>
        <w:ilvl w:val="5"/>
        <w:numId w:val="7"/>
      </w:numPr>
      <w:spacing w:before="240" w:after="60" w:line="240" w:lineRule="auto"/>
      <w:outlineLvl w:val="5"/>
    </w:pPr>
    <w:rPr>
      <w:rFonts w:eastAsiaTheme="minorEastAsia" w:cstheme="majorBid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B65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B6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93B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93B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93B65"/>
    <w:rPr>
      <w:rFonts w:eastAsiaTheme="minorEastAsia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B65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B65"/>
    <w:rPr>
      <w:rFonts w:eastAsiaTheme="minorEastAsia"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B65"/>
    <w:rPr>
      <w:rFonts w:eastAsiaTheme="minorEastAsia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F6EB7"/>
    <w:rPr>
      <w:b/>
      <w:bCs/>
    </w:rPr>
  </w:style>
  <w:style w:type="paragraph" w:styleId="Odstavecseseznamem">
    <w:name w:val="List Paragraph"/>
    <w:basedOn w:val="Normln"/>
    <w:uiPriority w:val="34"/>
    <w:qFormat/>
    <w:rsid w:val="00EF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1E5D-FD8F-4BA0-9D8C-312C81F9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Beneš</dc:creator>
  <cp:lastModifiedBy>Michal Beneš</cp:lastModifiedBy>
  <cp:revision>8</cp:revision>
  <cp:lastPrinted>2023-01-02T14:24:00Z</cp:lastPrinted>
  <dcterms:created xsi:type="dcterms:W3CDTF">2022-01-27T18:00:00Z</dcterms:created>
  <dcterms:modified xsi:type="dcterms:W3CDTF">2026-01-12T08:03:00Z</dcterms:modified>
</cp:coreProperties>
</file>